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D0" w:rsidRDefault="009F1B6B" w:rsidP="00885ED0">
      <w:r>
        <w:t xml:space="preserve"> </w:t>
      </w:r>
    </w:p>
    <w:p w:rsidR="0097223C" w:rsidRDefault="0097223C" w:rsidP="00DE1075">
      <w:pPr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97223C" w:rsidRDefault="0097223C" w:rsidP="00DE1075">
      <w:pPr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97223C" w:rsidRDefault="0097223C" w:rsidP="00DE1075">
      <w:pPr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97223C" w:rsidRPr="0097223C" w:rsidRDefault="0097223C" w:rsidP="0097223C">
      <w:pPr>
        <w:pStyle w:val="Podtytu"/>
        <w:spacing w:line="312" w:lineRule="auto"/>
        <w:rPr>
          <w:rFonts w:ascii="DIN Next LT Pro" w:hAnsi="DIN Next LT Pro"/>
          <w:b/>
          <w:color w:val="005682"/>
          <w:sz w:val="56"/>
          <w:szCs w:val="56"/>
        </w:rPr>
      </w:pPr>
      <w:r w:rsidRPr="0097223C">
        <w:rPr>
          <w:rFonts w:ascii="DIN Next LT Pro" w:hAnsi="DIN Next LT Pro"/>
          <w:b/>
          <w:color w:val="005682"/>
          <w:sz w:val="56"/>
          <w:szCs w:val="56"/>
        </w:rPr>
        <w:t>R</w:t>
      </w:r>
      <w:r>
        <w:rPr>
          <w:rFonts w:ascii="DIN Next LT Pro" w:hAnsi="DIN Next LT Pro"/>
          <w:b/>
          <w:color w:val="005682"/>
          <w:sz w:val="56"/>
          <w:szCs w:val="56"/>
        </w:rPr>
        <w:t xml:space="preserve"> </w:t>
      </w:r>
      <w:r w:rsidRPr="0097223C">
        <w:rPr>
          <w:rFonts w:ascii="DIN Next LT Pro" w:hAnsi="DIN Next LT Pro"/>
          <w:b/>
          <w:color w:val="005682"/>
          <w:sz w:val="56"/>
          <w:szCs w:val="56"/>
        </w:rPr>
        <w:t>A</w:t>
      </w:r>
      <w:r>
        <w:rPr>
          <w:rFonts w:ascii="DIN Next LT Pro" w:hAnsi="DIN Next LT Pro"/>
          <w:b/>
          <w:color w:val="005682"/>
          <w:sz w:val="56"/>
          <w:szCs w:val="56"/>
        </w:rPr>
        <w:t xml:space="preserve"> </w:t>
      </w:r>
      <w:r w:rsidRPr="0097223C">
        <w:rPr>
          <w:rFonts w:ascii="DIN Next LT Pro" w:hAnsi="DIN Next LT Pro"/>
          <w:b/>
          <w:color w:val="005682"/>
          <w:sz w:val="56"/>
          <w:szCs w:val="56"/>
        </w:rPr>
        <w:t>P</w:t>
      </w:r>
      <w:r>
        <w:rPr>
          <w:rFonts w:ascii="DIN Next LT Pro" w:hAnsi="DIN Next LT Pro"/>
          <w:b/>
          <w:color w:val="005682"/>
          <w:sz w:val="56"/>
          <w:szCs w:val="56"/>
        </w:rPr>
        <w:t xml:space="preserve"> </w:t>
      </w:r>
      <w:r w:rsidRPr="0097223C">
        <w:rPr>
          <w:rFonts w:ascii="DIN Next LT Pro" w:hAnsi="DIN Next LT Pro"/>
          <w:b/>
          <w:color w:val="005682"/>
          <w:sz w:val="56"/>
          <w:szCs w:val="56"/>
        </w:rPr>
        <w:t>O</w:t>
      </w:r>
      <w:r>
        <w:rPr>
          <w:rFonts w:ascii="DIN Next LT Pro" w:hAnsi="DIN Next LT Pro"/>
          <w:b/>
          <w:color w:val="005682"/>
          <w:sz w:val="56"/>
          <w:szCs w:val="56"/>
        </w:rPr>
        <w:t xml:space="preserve"> </w:t>
      </w:r>
      <w:r w:rsidRPr="0097223C">
        <w:rPr>
          <w:rFonts w:ascii="DIN Next LT Pro" w:hAnsi="DIN Next LT Pro"/>
          <w:b/>
          <w:color w:val="005682"/>
          <w:sz w:val="56"/>
          <w:szCs w:val="56"/>
        </w:rPr>
        <w:t>R</w:t>
      </w:r>
      <w:r>
        <w:rPr>
          <w:rFonts w:ascii="DIN Next LT Pro" w:hAnsi="DIN Next LT Pro"/>
          <w:b/>
          <w:color w:val="005682"/>
          <w:sz w:val="56"/>
          <w:szCs w:val="56"/>
        </w:rPr>
        <w:t xml:space="preserve"> </w:t>
      </w:r>
      <w:r w:rsidRPr="0097223C">
        <w:rPr>
          <w:rFonts w:ascii="DIN Next LT Pro" w:hAnsi="DIN Next LT Pro"/>
          <w:b/>
          <w:color w:val="005682"/>
          <w:sz w:val="56"/>
          <w:szCs w:val="56"/>
        </w:rPr>
        <w:t>T</w:t>
      </w:r>
    </w:p>
    <w:p w:rsidR="0097223C" w:rsidRPr="00111E35" w:rsidRDefault="0097223C" w:rsidP="0097223C">
      <w:pPr>
        <w:pStyle w:val="Podtytu"/>
        <w:spacing w:line="312" w:lineRule="auto"/>
        <w:rPr>
          <w:rFonts w:ascii="DIN Next LT Pro" w:hAnsi="DIN Next LT Pro"/>
          <w:b/>
          <w:color w:val="005682"/>
        </w:rPr>
      </w:pPr>
      <w:r w:rsidRPr="0097223C">
        <w:rPr>
          <w:rFonts w:ascii="DIN Next LT Pro" w:hAnsi="DIN Next LT Pro"/>
          <w:b/>
          <w:color w:val="005682"/>
          <w:sz w:val="56"/>
          <w:szCs w:val="56"/>
        </w:rPr>
        <w:t>O SYTUACJI EKONOMICZNO-FINANSOWEJ</w:t>
      </w:r>
      <w:r>
        <w:rPr>
          <w:rFonts w:ascii="DIN Next LT Pro" w:hAnsi="DIN Next LT Pro"/>
          <w:b/>
          <w:color w:val="005682"/>
          <w:sz w:val="56"/>
          <w:szCs w:val="56"/>
        </w:rPr>
        <w:t xml:space="preserve"> </w:t>
      </w:r>
      <w:r w:rsidRPr="0097223C">
        <w:rPr>
          <w:rFonts w:ascii="DIN Next LT Pro" w:hAnsi="DIN Next LT Pro"/>
          <w:b/>
          <w:color w:val="005682"/>
          <w:sz w:val="56"/>
          <w:szCs w:val="56"/>
        </w:rPr>
        <w:t xml:space="preserve">W ROKU </w:t>
      </w:r>
      <w:r w:rsidR="00617865">
        <w:rPr>
          <w:rFonts w:ascii="DIN Next LT Pro" w:hAnsi="DIN Next LT Pro"/>
          <w:b/>
          <w:color w:val="005682"/>
          <w:sz w:val="56"/>
          <w:szCs w:val="56"/>
        </w:rPr>
        <w:t>202</w:t>
      </w:r>
      <w:r w:rsidR="000837C5">
        <w:rPr>
          <w:rFonts w:ascii="DIN Next LT Pro" w:hAnsi="DIN Next LT Pro"/>
          <w:b/>
          <w:color w:val="005682"/>
          <w:sz w:val="56"/>
          <w:szCs w:val="56"/>
        </w:rPr>
        <w:t>4</w:t>
      </w:r>
    </w:p>
    <w:p w:rsidR="0097223C" w:rsidRPr="00111E35" w:rsidRDefault="0097223C" w:rsidP="0097223C">
      <w:pPr>
        <w:pStyle w:val="Podtytu"/>
        <w:rPr>
          <w:rFonts w:ascii="DIN Next LT Pro" w:hAnsi="DIN Next LT Pro" w:cs="Times New Roman"/>
          <w:b/>
          <w:bCs/>
        </w:rPr>
      </w:pPr>
    </w:p>
    <w:p w:rsidR="0097223C" w:rsidRPr="00111E35" w:rsidRDefault="0097223C" w:rsidP="0097223C">
      <w:pPr>
        <w:spacing w:line="312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  <w:r w:rsidRPr="00111E35">
        <w:rPr>
          <w:rFonts w:ascii="DIN Next LT Pro" w:hAnsi="DIN Next LT Pro"/>
          <w:b/>
          <w:color w:val="005682"/>
          <w:sz w:val="40"/>
          <w:szCs w:val="40"/>
        </w:rPr>
        <w:t>Centrum Leczenia Oparzeń</w:t>
      </w:r>
    </w:p>
    <w:p w:rsidR="0097223C" w:rsidRPr="00111E35" w:rsidRDefault="0097223C" w:rsidP="0097223C">
      <w:pPr>
        <w:spacing w:line="312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  <w:r w:rsidRPr="00111E35">
        <w:rPr>
          <w:rFonts w:ascii="DIN Next LT Pro" w:hAnsi="DIN Next LT Pro"/>
          <w:b/>
          <w:color w:val="005682"/>
          <w:sz w:val="40"/>
          <w:szCs w:val="40"/>
        </w:rPr>
        <w:t xml:space="preserve">im. dr. Stanisława </w:t>
      </w:r>
      <w:proofErr w:type="spellStart"/>
      <w:r w:rsidRPr="00111E35">
        <w:rPr>
          <w:rFonts w:ascii="DIN Next LT Pro" w:hAnsi="DIN Next LT Pro"/>
          <w:b/>
          <w:color w:val="005682"/>
          <w:sz w:val="40"/>
          <w:szCs w:val="40"/>
        </w:rPr>
        <w:t>Sakiela</w:t>
      </w:r>
      <w:proofErr w:type="spellEnd"/>
    </w:p>
    <w:p w:rsidR="0097223C" w:rsidRDefault="0097223C" w:rsidP="0097223C">
      <w:pPr>
        <w:spacing w:line="360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  <w:r w:rsidRPr="00111E35">
        <w:rPr>
          <w:rFonts w:ascii="DIN Next LT Pro" w:hAnsi="DIN Next LT Pro"/>
          <w:b/>
          <w:color w:val="005682"/>
          <w:sz w:val="40"/>
          <w:szCs w:val="40"/>
        </w:rPr>
        <w:t>w Siemianowicach Śląskich</w:t>
      </w:r>
    </w:p>
    <w:p w:rsidR="0097223C" w:rsidRDefault="0097223C" w:rsidP="0097223C">
      <w:pPr>
        <w:spacing w:line="360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</w:p>
    <w:p w:rsidR="0097223C" w:rsidRDefault="0097223C" w:rsidP="0097223C">
      <w:pPr>
        <w:spacing w:line="360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</w:p>
    <w:p w:rsidR="0097223C" w:rsidRDefault="0097223C" w:rsidP="0097223C">
      <w:pPr>
        <w:spacing w:line="360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</w:p>
    <w:p w:rsidR="0097223C" w:rsidRDefault="0097223C" w:rsidP="0097223C">
      <w:pPr>
        <w:spacing w:line="360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</w:p>
    <w:p w:rsidR="0097223C" w:rsidRDefault="0097223C" w:rsidP="0097223C">
      <w:pPr>
        <w:spacing w:line="360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</w:p>
    <w:p w:rsidR="0097223C" w:rsidRDefault="0097223C" w:rsidP="0097223C">
      <w:pPr>
        <w:spacing w:line="360" w:lineRule="auto"/>
        <w:jc w:val="center"/>
        <w:rPr>
          <w:rFonts w:ascii="DIN Next LT Pro" w:hAnsi="DIN Next LT Pro"/>
          <w:b/>
          <w:color w:val="005682"/>
          <w:sz w:val="40"/>
          <w:szCs w:val="40"/>
        </w:rPr>
      </w:pPr>
    </w:p>
    <w:p w:rsidR="00196221" w:rsidRPr="00AD7A56" w:rsidRDefault="00196221" w:rsidP="00196221">
      <w:pPr>
        <w:pStyle w:val="Tytu"/>
        <w:jc w:val="left"/>
        <w:rPr>
          <w:rFonts w:ascii="Nyala" w:hAnsi="Nyala" w:cstheme="minorHAnsi"/>
          <w:sz w:val="36"/>
          <w:szCs w:val="36"/>
        </w:rPr>
      </w:pPr>
      <w:r w:rsidRPr="00AD7A56">
        <w:rPr>
          <w:rFonts w:ascii="DIN Next LT Pro" w:hAnsi="DIN Next LT Pro"/>
          <w:color w:val="005682"/>
          <w:sz w:val="36"/>
          <w:szCs w:val="36"/>
        </w:rPr>
        <w:t>Podstawa prawna:</w:t>
      </w:r>
      <w:r w:rsidRPr="00AD7A56">
        <w:rPr>
          <w:rFonts w:ascii="Nyala" w:hAnsi="Nyala" w:cstheme="minorHAnsi"/>
          <w:sz w:val="36"/>
          <w:szCs w:val="36"/>
        </w:rPr>
        <w:tab/>
      </w:r>
    </w:p>
    <w:p w:rsidR="00196221" w:rsidRDefault="00196221" w:rsidP="00196221">
      <w:pPr>
        <w:pStyle w:val="Tytu"/>
        <w:jc w:val="left"/>
        <w:rPr>
          <w:rFonts w:ascii="DIN Next LT Pro" w:hAnsi="DIN Next LT Pro" w:cstheme="minorHAnsi"/>
          <w:sz w:val="28"/>
          <w:szCs w:val="28"/>
        </w:rPr>
      </w:pPr>
    </w:p>
    <w:p w:rsidR="0097223C" w:rsidRPr="0097223C" w:rsidRDefault="00196221" w:rsidP="00196221">
      <w:pPr>
        <w:spacing w:line="360" w:lineRule="auto"/>
        <w:rPr>
          <w:rFonts w:ascii="DIN Next LT Pro Light" w:hAnsi="DIN Next LT Pro Light" w:cs="Tahoma"/>
          <w:bCs/>
          <w:sz w:val="32"/>
          <w:szCs w:val="32"/>
        </w:rPr>
        <w:sectPr w:rsidR="0097223C" w:rsidRPr="0097223C" w:rsidSect="0081192B"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418" w:left="1134" w:header="567" w:footer="851" w:gutter="0"/>
          <w:pgNumType w:start="1"/>
          <w:cols w:space="708"/>
          <w:titlePg/>
          <w:docGrid w:linePitch="360"/>
        </w:sectPr>
      </w:pPr>
      <w:r>
        <w:rPr>
          <w:rFonts w:ascii="DIN Next LT Pro Light" w:hAnsi="DIN Next LT Pro Light" w:cstheme="minorHAnsi"/>
          <w:sz w:val="28"/>
          <w:szCs w:val="28"/>
        </w:rPr>
        <w:t>Art. 53a Ustawy</w:t>
      </w:r>
      <w:r w:rsidRPr="004D6EED">
        <w:rPr>
          <w:rFonts w:ascii="DIN Next LT Pro Light" w:hAnsi="DIN Next LT Pro Light" w:cstheme="minorHAnsi"/>
          <w:sz w:val="28"/>
          <w:szCs w:val="28"/>
        </w:rPr>
        <w:t xml:space="preserve"> z dnia 15 kwietnia 2011 r. o działalności leczniczej</w:t>
      </w:r>
    </w:p>
    <w:p w:rsidR="00885ED0" w:rsidRPr="00AD4521" w:rsidRDefault="008555A3" w:rsidP="00DE1075">
      <w:pPr>
        <w:spacing w:line="360" w:lineRule="auto"/>
        <w:jc w:val="both"/>
        <w:rPr>
          <w:rFonts w:ascii="DIN Next LT Pro" w:hAnsi="DIN Next LT Pro" w:cs="Tahoma"/>
          <w:b/>
          <w:bCs/>
          <w:color w:val="F58220"/>
          <w:szCs w:val="24"/>
        </w:rPr>
      </w:pPr>
      <w:r w:rsidRPr="00AD4521">
        <w:rPr>
          <w:rFonts w:ascii="DIN Next LT Pro" w:hAnsi="DIN Next LT Pro" w:cs="Tahoma"/>
          <w:b/>
          <w:bCs/>
          <w:color w:val="F58220"/>
          <w:szCs w:val="24"/>
        </w:rPr>
        <w:lastRenderedPageBreak/>
        <w:t>Spis treści</w:t>
      </w:r>
    </w:p>
    <w:p w:rsidR="000A1519" w:rsidRPr="00AA35EF" w:rsidRDefault="00DB375A" w:rsidP="00AA35EF">
      <w:pPr>
        <w:pStyle w:val="Spistreci1"/>
        <w:rPr>
          <w:rFonts w:eastAsiaTheme="minorEastAsia" w:cstheme="minorBidi"/>
          <w:b w:val="0"/>
          <w:sz w:val="22"/>
          <w:szCs w:val="22"/>
          <w:lang w:eastAsia="pl-PL"/>
        </w:rPr>
      </w:pPr>
      <w:r w:rsidRPr="00AA35EF">
        <w:rPr>
          <w:rFonts w:cs="Tahoma"/>
          <w:b w:val="0"/>
          <w:color w:val="FF0000"/>
        </w:rPr>
        <w:fldChar w:fldCharType="begin"/>
      </w:r>
      <w:r w:rsidR="001A0FE4" w:rsidRPr="00AA35EF">
        <w:rPr>
          <w:rFonts w:cs="Tahoma"/>
          <w:b w:val="0"/>
          <w:color w:val="FF0000"/>
        </w:rPr>
        <w:instrText xml:space="preserve"> TOC \o "1-3" \u </w:instrText>
      </w:r>
      <w:r w:rsidRPr="00AA35EF">
        <w:rPr>
          <w:rFonts w:cs="Tahoma"/>
          <w:b w:val="0"/>
          <w:color w:val="FF0000"/>
        </w:rPr>
        <w:fldChar w:fldCharType="separate"/>
      </w:r>
      <w:r w:rsidR="000A1519" w:rsidRPr="00AA35EF">
        <w:rPr>
          <w:b w:val="0"/>
        </w:rPr>
        <w:t>1. ANALIZA SYTUACJI EKONOMICZNO – FINANSOWEJ SAMODZIELNEGO PUBLICZNEGO</w:t>
      </w:r>
      <w:r w:rsidR="00AA35EF" w:rsidRPr="00AA35EF">
        <w:rPr>
          <w:b w:val="0"/>
        </w:rPr>
        <w:t xml:space="preserve"> </w:t>
      </w:r>
      <w:r w:rsidR="000A1519" w:rsidRPr="00AA35EF">
        <w:rPr>
          <w:b w:val="0"/>
        </w:rPr>
        <w:t>ZAKŁADU OPIEKI ZDROWOTNEJ ZA ROK 202</w:t>
      </w:r>
      <w:r w:rsidR="000837C5" w:rsidRPr="00AA35EF">
        <w:rPr>
          <w:b w:val="0"/>
        </w:rPr>
        <w:t>4</w:t>
      </w:r>
      <w:r w:rsidR="000A1519" w:rsidRPr="00AA35EF">
        <w:rPr>
          <w:b w:val="0"/>
        </w:rPr>
        <w:tab/>
      </w:r>
      <w:r w:rsidRPr="00AA35EF">
        <w:rPr>
          <w:b w:val="0"/>
        </w:rPr>
        <w:fldChar w:fldCharType="begin"/>
      </w:r>
      <w:r w:rsidR="000A1519" w:rsidRPr="00AA35EF">
        <w:rPr>
          <w:b w:val="0"/>
        </w:rPr>
        <w:instrText xml:space="preserve"> PAGEREF _Toc100219123 \h </w:instrText>
      </w:r>
      <w:r w:rsidRPr="00AA35EF">
        <w:rPr>
          <w:b w:val="0"/>
        </w:rPr>
      </w:r>
      <w:r w:rsidRPr="00AA35EF">
        <w:rPr>
          <w:b w:val="0"/>
        </w:rPr>
        <w:fldChar w:fldCharType="separate"/>
      </w:r>
      <w:r w:rsidR="00AE2535" w:rsidRPr="00AA35EF">
        <w:rPr>
          <w:b w:val="0"/>
        </w:rPr>
        <w:t>3</w:t>
      </w:r>
      <w:r w:rsidRPr="00AA35EF">
        <w:rPr>
          <w:b w:val="0"/>
        </w:rPr>
        <w:fldChar w:fldCharType="end"/>
      </w:r>
    </w:p>
    <w:p w:rsidR="000A1519" w:rsidRPr="00CE04C9" w:rsidRDefault="000A1519" w:rsidP="00CE04C9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r w:rsidRPr="00CE04C9">
        <w:t>1.1.</w:t>
      </w:r>
      <w:r w:rsidRPr="00CE04C9">
        <w:rPr>
          <w:rFonts w:eastAsiaTheme="minorEastAsia" w:cstheme="minorBidi"/>
          <w:sz w:val="22"/>
          <w:szCs w:val="22"/>
          <w:lang w:eastAsia="pl-PL"/>
        </w:rPr>
        <w:tab/>
      </w:r>
      <w:r w:rsidRPr="00CE04C9">
        <w:t>Analiza wskaźnikowa samodzielnego publicznego zakładu opieki zdrowotnej</w:t>
      </w:r>
    </w:p>
    <w:p w:rsidR="000A1519" w:rsidRPr="00AA35EF" w:rsidRDefault="000A1519" w:rsidP="00AA35EF">
      <w:pPr>
        <w:pStyle w:val="Spistreci3"/>
        <w:rPr>
          <w:rFonts w:eastAsiaTheme="minorEastAsia" w:cstheme="minorBidi"/>
          <w:sz w:val="22"/>
          <w:szCs w:val="22"/>
          <w:lang w:eastAsia="pl-PL"/>
        </w:rPr>
      </w:pPr>
      <w:r w:rsidRPr="00AA35EF">
        <w:t>1.1.1.</w:t>
      </w:r>
      <w:r w:rsidRPr="00AA35EF">
        <w:rPr>
          <w:rFonts w:eastAsiaTheme="minorEastAsia" w:cstheme="minorBidi"/>
          <w:sz w:val="22"/>
          <w:szCs w:val="22"/>
          <w:lang w:eastAsia="pl-PL"/>
        </w:rPr>
        <w:tab/>
      </w:r>
      <w:r w:rsidRPr="00AA35EF">
        <w:t>Wskaźniki zyskowności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_Toc100219125 \h </w:instrText>
      </w:r>
      <w:r w:rsidR="00DB375A" w:rsidRPr="00AA35EF">
        <w:fldChar w:fldCharType="separate"/>
      </w:r>
      <w:r w:rsidR="00690CD5" w:rsidRPr="00AA35EF">
        <w:rPr>
          <w:bCs/>
        </w:rPr>
        <w:t>7</w:t>
      </w:r>
      <w:r w:rsidR="00DB375A" w:rsidRPr="00AA35EF">
        <w:fldChar w:fldCharType="end"/>
      </w:r>
    </w:p>
    <w:p w:rsidR="000A1519" w:rsidRPr="00AA35EF" w:rsidRDefault="000A1519" w:rsidP="00AA35EF">
      <w:pPr>
        <w:pStyle w:val="Spistreci3"/>
        <w:rPr>
          <w:rFonts w:eastAsiaTheme="minorEastAsia" w:cstheme="minorBidi"/>
          <w:sz w:val="22"/>
          <w:szCs w:val="22"/>
          <w:lang w:eastAsia="pl-PL"/>
        </w:rPr>
      </w:pPr>
      <w:r w:rsidRPr="00AA35EF">
        <w:t>1.1.2.</w:t>
      </w:r>
      <w:r w:rsidRPr="00AA35EF">
        <w:rPr>
          <w:rFonts w:eastAsiaTheme="minorEastAsia" w:cstheme="minorBidi"/>
          <w:sz w:val="22"/>
          <w:szCs w:val="22"/>
          <w:lang w:eastAsia="pl-PL"/>
        </w:rPr>
        <w:tab/>
      </w:r>
      <w:r w:rsidRPr="00AA35EF">
        <w:t>Wskaźniki płynności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_Toc100219126 \h </w:instrText>
      </w:r>
      <w:r w:rsidR="00DB375A" w:rsidRPr="00AA35EF">
        <w:fldChar w:fldCharType="separate"/>
      </w:r>
      <w:r w:rsidR="00AE2535" w:rsidRPr="00AA35EF">
        <w:t>8</w:t>
      </w:r>
      <w:r w:rsidR="00DB375A" w:rsidRPr="00AA35EF">
        <w:fldChar w:fldCharType="end"/>
      </w:r>
    </w:p>
    <w:p w:rsidR="000A1519" w:rsidRPr="00AA35EF" w:rsidRDefault="000A1519" w:rsidP="00AA35EF">
      <w:pPr>
        <w:pStyle w:val="Spistreci3"/>
        <w:rPr>
          <w:rFonts w:eastAsiaTheme="minorEastAsia" w:cstheme="minorBidi"/>
          <w:sz w:val="22"/>
          <w:szCs w:val="22"/>
          <w:lang w:eastAsia="pl-PL"/>
        </w:rPr>
      </w:pPr>
      <w:r w:rsidRPr="00AA35EF">
        <w:t>1.1.3.</w:t>
      </w:r>
      <w:r w:rsidRPr="00AA35EF">
        <w:rPr>
          <w:rFonts w:eastAsiaTheme="minorEastAsia" w:cstheme="minorBidi"/>
          <w:sz w:val="22"/>
          <w:szCs w:val="22"/>
          <w:lang w:eastAsia="pl-PL"/>
        </w:rPr>
        <w:tab/>
      </w:r>
      <w:r w:rsidRPr="00AA35EF">
        <w:t>Wskaźniki efektywności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_Toc100219127 \h </w:instrText>
      </w:r>
      <w:r w:rsidR="00DB375A" w:rsidRPr="00AA35EF">
        <w:fldChar w:fldCharType="separate"/>
      </w:r>
      <w:r w:rsidR="00AE2535" w:rsidRPr="00AA35EF">
        <w:t>10</w:t>
      </w:r>
      <w:r w:rsidR="00DB375A" w:rsidRPr="00AA35EF">
        <w:fldChar w:fldCharType="end"/>
      </w:r>
    </w:p>
    <w:p w:rsidR="000A1519" w:rsidRPr="00AA35EF" w:rsidRDefault="000A1519" w:rsidP="00AA35EF">
      <w:pPr>
        <w:pStyle w:val="Spistreci3"/>
        <w:rPr>
          <w:rFonts w:eastAsiaTheme="minorEastAsia" w:cstheme="minorBidi"/>
          <w:sz w:val="22"/>
          <w:szCs w:val="22"/>
          <w:lang w:eastAsia="pl-PL"/>
        </w:rPr>
      </w:pPr>
      <w:r w:rsidRPr="00AA35EF">
        <w:t>1.1.4.</w:t>
      </w:r>
      <w:r w:rsidRPr="00AA35EF">
        <w:rPr>
          <w:rFonts w:eastAsiaTheme="minorEastAsia" w:cstheme="minorBidi"/>
          <w:sz w:val="22"/>
          <w:szCs w:val="22"/>
          <w:lang w:eastAsia="pl-PL"/>
        </w:rPr>
        <w:tab/>
      </w:r>
      <w:r w:rsidRPr="00AA35EF">
        <w:t>Wskaźniki zadłużenia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_Toc100219128 \h </w:instrText>
      </w:r>
      <w:r w:rsidR="00DB375A" w:rsidRPr="00AA35EF">
        <w:fldChar w:fldCharType="separate"/>
      </w:r>
      <w:r w:rsidR="00AE2535" w:rsidRPr="00AA35EF">
        <w:t>11</w:t>
      </w:r>
      <w:r w:rsidR="00DB375A" w:rsidRPr="00AA35EF">
        <w:fldChar w:fldCharType="end"/>
      </w:r>
    </w:p>
    <w:p w:rsidR="000A1519" w:rsidRPr="00AA35EF" w:rsidRDefault="000A1519" w:rsidP="00CE04C9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r w:rsidRPr="00AA35EF">
        <w:t>1.2.</w:t>
      </w:r>
      <w:r w:rsidRPr="00AA35EF">
        <w:rPr>
          <w:rFonts w:eastAsiaTheme="minorEastAsia" w:cstheme="minorBidi"/>
          <w:sz w:val="22"/>
          <w:szCs w:val="22"/>
          <w:lang w:eastAsia="pl-PL"/>
        </w:rPr>
        <w:tab/>
      </w:r>
      <w:r w:rsidRPr="00AA35EF">
        <w:t xml:space="preserve">Ocena wskaźnikowa sytuacji ekonomiczno – finansowej samodzielnego publicznego zakładu opieki </w:t>
      </w:r>
      <w:r w:rsidR="00AA35EF">
        <w:tab/>
      </w:r>
      <w:r w:rsidRPr="00AA35EF">
        <w:t>zdrowotnej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_Toc100219129 \h </w:instrText>
      </w:r>
      <w:r w:rsidR="00DB375A" w:rsidRPr="00AA35EF">
        <w:fldChar w:fldCharType="separate"/>
      </w:r>
      <w:r w:rsidR="00AE2535" w:rsidRPr="00AA35EF">
        <w:t>11</w:t>
      </w:r>
      <w:r w:rsidR="00DB375A" w:rsidRPr="00AA35EF">
        <w:fldChar w:fldCharType="end"/>
      </w:r>
    </w:p>
    <w:p w:rsidR="000A1519" w:rsidRPr="00AA35EF" w:rsidRDefault="000A1519" w:rsidP="00CE04C9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r w:rsidRPr="00AA35EF">
        <w:t>1.3.</w:t>
      </w:r>
      <w:r w:rsidRPr="00AA35EF">
        <w:rPr>
          <w:rFonts w:eastAsiaTheme="minorEastAsia" w:cstheme="minorBidi"/>
          <w:sz w:val="22"/>
          <w:szCs w:val="22"/>
          <w:lang w:eastAsia="pl-PL"/>
        </w:rPr>
        <w:tab/>
      </w:r>
      <w:r w:rsidRPr="00AA35EF">
        <w:t>Podsumowanie analizy sytuacji ekonomiczno – finansowej podmiotu leczniczego za 202</w:t>
      </w:r>
      <w:r w:rsidR="000837C5" w:rsidRPr="00AA35EF">
        <w:t>4</w:t>
      </w:r>
      <w:r w:rsidRPr="00AA35EF">
        <w:t xml:space="preserve"> rok – </w:t>
      </w:r>
      <w:r w:rsidR="00AA35EF" w:rsidRPr="00AA35EF">
        <w:tab/>
      </w:r>
      <w:r w:rsidRPr="00AA35EF">
        <w:t>wnioski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_Toc100219130 \h </w:instrText>
      </w:r>
      <w:r w:rsidR="00DB375A" w:rsidRPr="00AA35EF">
        <w:fldChar w:fldCharType="separate"/>
      </w:r>
      <w:r w:rsidR="00AE2535" w:rsidRPr="00AA35EF">
        <w:t>12</w:t>
      </w:r>
      <w:r w:rsidR="00DB375A" w:rsidRPr="00AA35EF">
        <w:fldChar w:fldCharType="end"/>
      </w:r>
    </w:p>
    <w:p w:rsidR="000A1519" w:rsidRPr="00AA35EF" w:rsidRDefault="000A1519" w:rsidP="00AA35EF">
      <w:pPr>
        <w:pStyle w:val="Spistreci1"/>
        <w:rPr>
          <w:rFonts w:eastAsiaTheme="minorEastAsia" w:cstheme="minorBidi"/>
          <w:b w:val="0"/>
          <w:sz w:val="22"/>
          <w:szCs w:val="22"/>
          <w:lang w:eastAsia="pl-PL"/>
        </w:rPr>
      </w:pPr>
      <w:r w:rsidRPr="00AA35EF">
        <w:rPr>
          <w:b w:val="0"/>
        </w:rPr>
        <w:t>2. PROGNOZA SYTUACJI EKONOMICZNO – FINANSOWEJ NA KOLEJNE TRZY LATA OBROTOWE (202</w:t>
      </w:r>
      <w:r w:rsidR="000837C5" w:rsidRPr="00AA35EF">
        <w:rPr>
          <w:b w:val="0"/>
        </w:rPr>
        <w:t>5</w:t>
      </w:r>
      <w:r w:rsidRPr="00AA35EF">
        <w:rPr>
          <w:b w:val="0"/>
        </w:rPr>
        <w:t>, 202</w:t>
      </w:r>
      <w:r w:rsidR="000837C5" w:rsidRPr="00AA35EF">
        <w:rPr>
          <w:b w:val="0"/>
        </w:rPr>
        <w:t>6</w:t>
      </w:r>
      <w:r w:rsidRPr="00AA35EF">
        <w:rPr>
          <w:b w:val="0"/>
        </w:rPr>
        <w:t>, 202</w:t>
      </w:r>
      <w:r w:rsidR="000837C5" w:rsidRPr="00AA35EF">
        <w:rPr>
          <w:b w:val="0"/>
        </w:rPr>
        <w:t>7</w:t>
      </w:r>
      <w:r w:rsidRPr="00AA35EF">
        <w:rPr>
          <w:b w:val="0"/>
        </w:rPr>
        <w:t>) WRAZ Z OPISEM PRZYJĘTYCH ZAŁOŻEŃ</w:t>
      </w:r>
      <w:r w:rsidRPr="00AA35EF">
        <w:rPr>
          <w:b w:val="0"/>
        </w:rPr>
        <w:tab/>
      </w:r>
      <w:r w:rsidR="00DB375A" w:rsidRPr="00AA35EF">
        <w:rPr>
          <w:b w:val="0"/>
        </w:rPr>
        <w:fldChar w:fldCharType="begin"/>
      </w:r>
      <w:r w:rsidRPr="00AA35EF">
        <w:rPr>
          <w:b w:val="0"/>
        </w:rPr>
        <w:instrText xml:space="preserve"> PAGEREF _Toc100219131 \h </w:instrText>
      </w:r>
      <w:r w:rsidR="00DB375A" w:rsidRPr="00AA35EF">
        <w:rPr>
          <w:b w:val="0"/>
        </w:rPr>
      </w:r>
      <w:r w:rsidR="00DB375A" w:rsidRPr="00AA35EF">
        <w:rPr>
          <w:b w:val="0"/>
        </w:rPr>
        <w:fldChar w:fldCharType="separate"/>
      </w:r>
      <w:r w:rsidR="00AE2535" w:rsidRPr="00AA35EF">
        <w:rPr>
          <w:b w:val="0"/>
        </w:rPr>
        <w:t>13</w:t>
      </w:r>
      <w:r w:rsidR="00DB375A" w:rsidRPr="00AA35EF">
        <w:rPr>
          <w:b w:val="0"/>
        </w:rPr>
        <w:fldChar w:fldCharType="end"/>
      </w:r>
    </w:p>
    <w:p w:rsidR="000A1519" w:rsidRPr="00AA35EF" w:rsidRDefault="000A1519" w:rsidP="00CE04C9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r w:rsidRPr="00AA35EF">
        <w:t>2.1.</w:t>
      </w:r>
      <w:r w:rsidRPr="00AA35EF">
        <w:rPr>
          <w:rFonts w:eastAsiaTheme="minorEastAsia" w:cstheme="minorBidi"/>
          <w:sz w:val="22"/>
          <w:szCs w:val="22"/>
          <w:lang w:eastAsia="pl-PL"/>
        </w:rPr>
        <w:tab/>
      </w:r>
      <w:r w:rsidRPr="00AA35EF">
        <w:t xml:space="preserve">Opis przyjętych założeń makroekonomicznych i mikroekonomicznych z uwzględnieniem  ich wpływu </w:t>
      </w:r>
      <w:r w:rsidR="00AA35EF">
        <w:tab/>
      </w:r>
      <w:r w:rsidRPr="00AA35EF">
        <w:t>na projekcję dotyczącą sprawozdań finansowych w latach objętych prognozą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_Toc100219132 \h </w:instrText>
      </w:r>
      <w:r w:rsidR="00DB375A" w:rsidRPr="00AA35EF">
        <w:fldChar w:fldCharType="separate"/>
      </w:r>
      <w:r w:rsidR="00AE2535" w:rsidRPr="00AA35EF">
        <w:t>13</w:t>
      </w:r>
      <w:r w:rsidR="00DB375A" w:rsidRPr="00AA35EF">
        <w:fldChar w:fldCharType="end"/>
      </w:r>
    </w:p>
    <w:p w:rsidR="000A1519" w:rsidRPr="00AA35EF" w:rsidRDefault="000A1519" w:rsidP="00CE04C9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r w:rsidRPr="00AA35EF">
        <w:t>2.2. Prognoza rachunku zysków i strat na lata 202</w:t>
      </w:r>
      <w:r w:rsidR="000837C5" w:rsidRPr="00AA35EF">
        <w:t>5</w:t>
      </w:r>
      <w:r w:rsidRPr="00AA35EF">
        <w:t>, 202</w:t>
      </w:r>
      <w:r w:rsidR="000837C5" w:rsidRPr="00AA35EF">
        <w:t>6</w:t>
      </w:r>
      <w:r w:rsidRPr="00AA35EF">
        <w:t xml:space="preserve"> i 202</w:t>
      </w:r>
      <w:r w:rsidR="000837C5" w:rsidRPr="00AA35EF">
        <w:t>7</w:t>
      </w:r>
      <w:r w:rsidRPr="00AA35EF">
        <w:t xml:space="preserve"> (zł.)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_Toc100219133 \h </w:instrText>
      </w:r>
      <w:r w:rsidR="00DB375A" w:rsidRPr="00AA35EF">
        <w:fldChar w:fldCharType="separate"/>
      </w:r>
      <w:r w:rsidR="00AE2535" w:rsidRPr="00AA35EF">
        <w:t>14</w:t>
      </w:r>
      <w:r w:rsidR="00DB375A" w:rsidRPr="00AA35EF">
        <w:fldChar w:fldCharType="end"/>
      </w:r>
    </w:p>
    <w:p w:rsidR="000A1519" w:rsidRPr="00AA35EF" w:rsidRDefault="000A1519" w:rsidP="00CE04C9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r w:rsidRPr="00AA35EF">
        <w:t>2.</w:t>
      </w:r>
      <w:r w:rsidR="0021687F" w:rsidRPr="00AA35EF">
        <w:t>3. Prognoza bilansu na lata 202</w:t>
      </w:r>
      <w:r w:rsidR="000837C5" w:rsidRPr="00AA35EF">
        <w:t>5</w:t>
      </w:r>
      <w:r w:rsidRPr="00AA35EF">
        <w:t>, 202</w:t>
      </w:r>
      <w:r w:rsidR="000837C5" w:rsidRPr="00AA35EF">
        <w:t>6</w:t>
      </w:r>
      <w:r w:rsidRPr="00AA35EF">
        <w:t xml:space="preserve"> i 202</w:t>
      </w:r>
      <w:r w:rsidR="000837C5" w:rsidRPr="00AA35EF">
        <w:t>7</w:t>
      </w:r>
      <w:r w:rsidRPr="00AA35EF">
        <w:t xml:space="preserve"> (zł.)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_Toc100219134 \h </w:instrText>
      </w:r>
      <w:r w:rsidR="00DB375A" w:rsidRPr="00AA35EF">
        <w:fldChar w:fldCharType="separate"/>
      </w:r>
      <w:r w:rsidR="00AE2535" w:rsidRPr="00AA35EF">
        <w:t>15</w:t>
      </w:r>
      <w:r w:rsidR="00DB375A" w:rsidRPr="00AA35EF">
        <w:fldChar w:fldCharType="end"/>
      </w:r>
    </w:p>
    <w:p w:rsidR="000A1519" w:rsidRPr="00AA35EF" w:rsidRDefault="000A1519" w:rsidP="00AA35EF">
      <w:pPr>
        <w:pStyle w:val="Spistreci3"/>
        <w:rPr>
          <w:rFonts w:ascii="DIN Next LT Pro" w:eastAsiaTheme="minorEastAsia" w:hAnsi="DIN Next LT Pro" w:cstheme="minorBidi"/>
          <w:sz w:val="22"/>
          <w:szCs w:val="22"/>
          <w:lang w:eastAsia="pl-PL"/>
        </w:rPr>
      </w:pPr>
      <w:r w:rsidRPr="00AA35EF">
        <w:rPr>
          <w:rFonts w:ascii="DIN Next LT Pro" w:hAnsi="DIN Next LT Pro"/>
        </w:rPr>
        <w:t>2.3.1.   Prognoza kształtowania się wielkości zobowiązań wymagalnych w latach 202</w:t>
      </w:r>
      <w:r w:rsidR="000837C5" w:rsidRPr="00AA35EF">
        <w:rPr>
          <w:rFonts w:ascii="DIN Next LT Pro" w:hAnsi="DIN Next LT Pro"/>
        </w:rPr>
        <w:t>5</w:t>
      </w:r>
      <w:r w:rsidRPr="00AA35EF">
        <w:rPr>
          <w:rFonts w:ascii="DIN Next LT Pro" w:hAnsi="DIN Next LT Pro"/>
        </w:rPr>
        <w:t>, 202</w:t>
      </w:r>
      <w:r w:rsidR="000837C5" w:rsidRPr="00AA35EF">
        <w:rPr>
          <w:rFonts w:ascii="DIN Next LT Pro" w:hAnsi="DIN Next LT Pro"/>
        </w:rPr>
        <w:t>6</w:t>
      </w:r>
      <w:r w:rsidR="00AA35EF" w:rsidRPr="00AA35EF">
        <w:rPr>
          <w:rFonts w:ascii="DIN Next LT Pro" w:hAnsi="DIN Next LT Pro"/>
        </w:rPr>
        <w:t xml:space="preserve">, </w:t>
      </w:r>
      <w:r w:rsidR="00AA35EF" w:rsidRPr="00AA35EF">
        <w:rPr>
          <w:rFonts w:ascii="DIN Next LT Pro" w:hAnsi="DIN Next LT Pro"/>
        </w:rPr>
        <w:br/>
      </w:r>
      <w:r w:rsidR="00AA35EF" w:rsidRPr="00AA35EF">
        <w:rPr>
          <w:rFonts w:ascii="DIN Next LT Pro" w:hAnsi="DIN Next LT Pro"/>
        </w:rPr>
        <w:tab/>
      </w:r>
      <w:r w:rsidRPr="00AA35EF">
        <w:rPr>
          <w:rFonts w:ascii="DIN Next LT Pro" w:hAnsi="DIN Next LT Pro"/>
        </w:rPr>
        <w:t>202</w:t>
      </w:r>
      <w:r w:rsidR="000837C5" w:rsidRPr="00AA35EF">
        <w:rPr>
          <w:rFonts w:ascii="DIN Next LT Pro" w:hAnsi="DIN Next LT Pro"/>
        </w:rPr>
        <w:t>7</w:t>
      </w:r>
      <w:r w:rsidR="00BC01B0" w:rsidRPr="00AA35EF">
        <w:rPr>
          <w:rFonts w:ascii="DIN Next LT Pro" w:hAnsi="DIN Next LT Pro"/>
        </w:rPr>
        <w:t>…………………………………………………………………………</w:t>
      </w:r>
      <w:r w:rsidR="00AA35EF" w:rsidRPr="00AA35EF">
        <w:rPr>
          <w:rFonts w:ascii="DIN Next LT Pro" w:hAnsi="DIN Next LT Pro"/>
        </w:rPr>
        <w:tab/>
      </w:r>
      <w:r w:rsidR="00DB375A" w:rsidRPr="00AA35EF">
        <w:rPr>
          <w:rFonts w:ascii="DIN Next LT Pro" w:hAnsi="DIN Next LT Pro"/>
        </w:rPr>
        <w:fldChar w:fldCharType="begin"/>
      </w:r>
      <w:r w:rsidRPr="00AA35EF">
        <w:rPr>
          <w:rFonts w:ascii="DIN Next LT Pro" w:hAnsi="DIN Next LT Pro"/>
        </w:rPr>
        <w:instrText xml:space="preserve"> PAGEREF _Toc100219135 \h </w:instrText>
      </w:r>
      <w:r w:rsidR="00DB375A" w:rsidRPr="00AA35EF">
        <w:rPr>
          <w:rFonts w:ascii="DIN Next LT Pro" w:hAnsi="DIN Next LT Pro"/>
        </w:rPr>
      </w:r>
      <w:r w:rsidR="00DB375A" w:rsidRPr="00AA35EF">
        <w:rPr>
          <w:rFonts w:ascii="DIN Next LT Pro" w:hAnsi="DIN Next LT Pro"/>
        </w:rPr>
        <w:fldChar w:fldCharType="separate"/>
      </w:r>
      <w:r w:rsidR="00AE2535" w:rsidRPr="00AA35EF">
        <w:rPr>
          <w:rFonts w:ascii="DIN Next LT Pro" w:hAnsi="DIN Next LT Pro"/>
        </w:rPr>
        <w:t>17</w:t>
      </w:r>
      <w:r w:rsidR="00DB375A" w:rsidRPr="00AA35EF">
        <w:rPr>
          <w:rFonts w:ascii="DIN Next LT Pro" w:hAnsi="DIN Next LT Pro"/>
        </w:rPr>
        <w:fldChar w:fldCharType="end"/>
      </w:r>
    </w:p>
    <w:p w:rsidR="000A1519" w:rsidRPr="00AA35EF" w:rsidRDefault="000A1519" w:rsidP="00CE04C9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r w:rsidRPr="00AA35EF">
        <w:t xml:space="preserve">2.4.  Prognoza wartości wskaźników ekonomiczno – finansowych wraz z podsumowaniem wyników </w:t>
      </w:r>
      <w:r w:rsidR="00CE04C9">
        <w:tab/>
      </w:r>
      <w:r w:rsidRPr="00AA35EF">
        <w:t>prognozy</w:t>
      </w:r>
      <w:r w:rsidR="00BC01B0" w:rsidRPr="00AA35EF">
        <w:t xml:space="preserve"> </w:t>
      </w:r>
      <w:r w:rsidRPr="00AA35EF">
        <w:t>wskaźnikowej  projekcji sytuacji ekonomiczno – finansowej na lata 202</w:t>
      </w:r>
      <w:r w:rsidR="000837C5" w:rsidRPr="00AA35EF">
        <w:t>5</w:t>
      </w:r>
      <w:r w:rsidRPr="00AA35EF">
        <w:t>, 202</w:t>
      </w:r>
      <w:r w:rsidR="000837C5" w:rsidRPr="00AA35EF">
        <w:t>6</w:t>
      </w:r>
      <w:r w:rsidRPr="00AA35EF">
        <w:t xml:space="preserve"> i 202</w:t>
      </w:r>
      <w:r w:rsidR="000837C5" w:rsidRPr="00AA35EF">
        <w:t>7</w:t>
      </w:r>
      <w:r w:rsidRPr="00AA35EF">
        <w:tab/>
      </w:r>
      <w:r w:rsidR="00DB375A" w:rsidRPr="00AA35EF">
        <w:fldChar w:fldCharType="begin"/>
      </w:r>
      <w:r w:rsidRPr="00AA35EF">
        <w:instrText xml:space="preserve"> PAGEREF _Toc100219136 \h </w:instrText>
      </w:r>
      <w:r w:rsidR="00DB375A" w:rsidRPr="00AA35EF">
        <w:fldChar w:fldCharType="separate"/>
      </w:r>
      <w:r w:rsidR="00AE2535" w:rsidRPr="00AA35EF">
        <w:t>18</w:t>
      </w:r>
      <w:r w:rsidR="00DB375A" w:rsidRPr="00AA35EF">
        <w:fldChar w:fldCharType="end"/>
      </w:r>
    </w:p>
    <w:p w:rsidR="000A1519" w:rsidRPr="00CE04C9" w:rsidRDefault="000A1519" w:rsidP="00CE04C9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r w:rsidRPr="00CE04C9">
        <w:t>2.5. Podsumowanie prognozy</w:t>
      </w:r>
      <w:r w:rsidRPr="00CE04C9">
        <w:tab/>
      </w:r>
      <w:r w:rsidR="00DB375A" w:rsidRPr="00CE04C9">
        <w:fldChar w:fldCharType="begin"/>
      </w:r>
      <w:r w:rsidRPr="00CE04C9">
        <w:instrText xml:space="preserve"> PAGEREF _Toc100219137 \h </w:instrText>
      </w:r>
      <w:r w:rsidR="00DB375A" w:rsidRPr="00CE04C9">
        <w:fldChar w:fldCharType="separate"/>
      </w:r>
      <w:r w:rsidR="00AE2535" w:rsidRPr="00CE04C9">
        <w:t>19</w:t>
      </w:r>
      <w:r w:rsidR="00DB375A" w:rsidRPr="00CE04C9">
        <w:fldChar w:fldCharType="end"/>
      </w:r>
    </w:p>
    <w:p w:rsidR="000A1519" w:rsidRPr="00AA35EF" w:rsidRDefault="000A1519" w:rsidP="00AA35EF">
      <w:pPr>
        <w:pStyle w:val="Spistreci1"/>
        <w:rPr>
          <w:rFonts w:eastAsiaTheme="minorEastAsia" w:cstheme="minorBidi"/>
          <w:b w:val="0"/>
          <w:sz w:val="22"/>
          <w:szCs w:val="22"/>
          <w:lang w:eastAsia="pl-PL"/>
        </w:rPr>
      </w:pPr>
      <w:r w:rsidRPr="00AA35EF">
        <w:rPr>
          <w:b w:val="0"/>
        </w:rPr>
        <w:t>3.</w:t>
      </w:r>
      <w:r w:rsidRPr="00AA35EF">
        <w:rPr>
          <w:rFonts w:eastAsiaTheme="minorEastAsia" w:cstheme="minorBidi"/>
          <w:b w:val="0"/>
          <w:sz w:val="22"/>
          <w:szCs w:val="22"/>
          <w:lang w:eastAsia="pl-PL"/>
        </w:rPr>
        <w:t xml:space="preserve"> </w:t>
      </w:r>
      <w:r w:rsidRPr="00AA35EF">
        <w:rPr>
          <w:b w:val="0"/>
        </w:rPr>
        <w:t>INFORMACJA O ISTOTNYCH ZDARZENIACH MAJĄCYCH WPŁYW NA SYTUACJĘ  EKONOMICZNO – FINANSOWĄ SAMODZIELNEGO PUBLICZNEGO ZAKŁADU OPIEKI ZDROWOTNEJ</w:t>
      </w:r>
      <w:r w:rsidRPr="00AA35EF">
        <w:rPr>
          <w:b w:val="0"/>
        </w:rPr>
        <w:tab/>
      </w:r>
      <w:r w:rsidR="00DB375A" w:rsidRPr="00AA35EF">
        <w:rPr>
          <w:b w:val="0"/>
        </w:rPr>
        <w:fldChar w:fldCharType="begin"/>
      </w:r>
      <w:r w:rsidRPr="00AA35EF">
        <w:rPr>
          <w:b w:val="0"/>
        </w:rPr>
        <w:instrText xml:space="preserve"> PAGEREF _Toc100219138 \h </w:instrText>
      </w:r>
      <w:r w:rsidR="00DB375A" w:rsidRPr="00AA35EF">
        <w:rPr>
          <w:b w:val="0"/>
        </w:rPr>
      </w:r>
      <w:r w:rsidR="00DB375A" w:rsidRPr="00AA35EF">
        <w:rPr>
          <w:b w:val="0"/>
        </w:rPr>
        <w:fldChar w:fldCharType="separate"/>
      </w:r>
      <w:r w:rsidR="00AE2535" w:rsidRPr="00AA35EF">
        <w:rPr>
          <w:b w:val="0"/>
        </w:rPr>
        <w:t>20</w:t>
      </w:r>
      <w:r w:rsidR="00DB375A" w:rsidRPr="00AA35EF">
        <w:rPr>
          <w:b w:val="0"/>
        </w:rPr>
        <w:fldChar w:fldCharType="end"/>
      </w:r>
    </w:p>
    <w:p w:rsidR="008555A3" w:rsidRPr="00AA35EF" w:rsidRDefault="00DB375A" w:rsidP="00BF28BB">
      <w:pPr>
        <w:tabs>
          <w:tab w:val="right" w:leader="dot" w:pos="10348"/>
        </w:tabs>
        <w:spacing w:line="360" w:lineRule="auto"/>
        <w:jc w:val="both"/>
        <w:rPr>
          <w:rFonts w:ascii="DIN Next LT Pro" w:hAnsi="DIN Next LT Pro" w:cs="Tahoma"/>
          <w:bCs/>
          <w:color w:val="FF0000"/>
          <w:sz w:val="22"/>
          <w:szCs w:val="22"/>
        </w:rPr>
      </w:pPr>
      <w:r w:rsidRPr="00AA35EF">
        <w:rPr>
          <w:rFonts w:ascii="DIN Next LT Pro" w:hAnsi="DIN Next LT Pro" w:cs="Tahoma"/>
          <w:bCs/>
          <w:color w:val="FF0000"/>
          <w:sz w:val="22"/>
          <w:szCs w:val="22"/>
        </w:rPr>
        <w:fldChar w:fldCharType="end"/>
      </w:r>
    </w:p>
    <w:p w:rsidR="008B1042" w:rsidRPr="00AA35EF" w:rsidRDefault="008B1042">
      <w:pPr>
        <w:widowControl/>
        <w:suppressAutoHyphens w:val="0"/>
        <w:jc w:val="both"/>
        <w:rPr>
          <w:rFonts w:ascii="DIN Next LT Pro" w:hAnsi="DIN Next LT Pro" w:cs="Tahoma"/>
          <w:bCs/>
          <w:sz w:val="28"/>
          <w:szCs w:val="28"/>
        </w:rPr>
      </w:pPr>
      <w:r w:rsidRPr="00AA35EF">
        <w:rPr>
          <w:rFonts w:ascii="DIN Next LT Pro" w:hAnsi="DIN Next LT Pro" w:cs="Tahoma"/>
          <w:bCs/>
          <w:sz w:val="28"/>
          <w:szCs w:val="28"/>
        </w:rPr>
        <w:br w:type="page"/>
      </w:r>
    </w:p>
    <w:p w:rsidR="00596A12" w:rsidRPr="00306870" w:rsidRDefault="00911FCE">
      <w:pPr>
        <w:pStyle w:val="Nagwek1"/>
        <w:numPr>
          <w:ilvl w:val="0"/>
          <w:numId w:val="3"/>
        </w:numPr>
        <w:spacing w:line="360" w:lineRule="auto"/>
        <w:ind w:left="284" w:hanging="284"/>
        <w:rPr>
          <w:rFonts w:ascii="DIN Next LT Pro Light" w:hAnsi="DIN Next LT Pro Light"/>
          <w:color w:val="F58220"/>
        </w:rPr>
      </w:pPr>
      <w:bookmarkStart w:id="0" w:name="_Toc482003125"/>
      <w:bookmarkStart w:id="1" w:name="_Toc100219123"/>
      <w:r w:rsidRPr="00306870">
        <w:rPr>
          <w:rFonts w:ascii="DIN Next LT Pro" w:hAnsi="DIN Next LT Pro"/>
          <w:bCs w:val="0"/>
          <w:color w:val="F58220"/>
          <w:szCs w:val="24"/>
        </w:rPr>
        <w:lastRenderedPageBreak/>
        <w:t xml:space="preserve">ANALIZA SYTUACJI EKONOMICZNO – FINANSOWEJ SAMODZIELNEGO PUBLICZNEGO ZAKŁADU OPIEKI ZDROWOTNEJ ZA </w:t>
      </w:r>
      <w:r w:rsidR="00AB6FD0">
        <w:rPr>
          <w:rFonts w:ascii="DIN Next LT Pro" w:hAnsi="DIN Next LT Pro"/>
          <w:bCs w:val="0"/>
          <w:color w:val="F58220"/>
          <w:szCs w:val="24"/>
        </w:rPr>
        <w:t xml:space="preserve">ROK </w:t>
      </w:r>
      <w:r w:rsidR="00BC7AD1" w:rsidRPr="00306870">
        <w:rPr>
          <w:rFonts w:ascii="DIN Next LT Pro" w:hAnsi="DIN Next LT Pro"/>
          <w:bCs w:val="0"/>
          <w:color w:val="F58220"/>
          <w:szCs w:val="24"/>
        </w:rPr>
        <w:t>202</w:t>
      </w:r>
      <w:bookmarkEnd w:id="0"/>
      <w:bookmarkEnd w:id="1"/>
      <w:r w:rsidR="0001533D">
        <w:rPr>
          <w:rFonts w:ascii="DIN Next LT Pro" w:hAnsi="DIN Next LT Pro"/>
          <w:bCs w:val="0"/>
          <w:color w:val="F58220"/>
          <w:szCs w:val="24"/>
        </w:rPr>
        <w:t>4</w:t>
      </w:r>
    </w:p>
    <w:p w:rsidR="00FD7E53" w:rsidRPr="0097223C" w:rsidRDefault="00FD7E53" w:rsidP="00FD7E53">
      <w:pPr>
        <w:pStyle w:val="Bezodstpw"/>
        <w:spacing w:line="360" w:lineRule="auto"/>
        <w:jc w:val="both"/>
        <w:rPr>
          <w:rFonts w:ascii="DIN Next LT Pro Light" w:hAnsi="DIN Next LT Pro Light"/>
        </w:rPr>
      </w:pPr>
      <w:r w:rsidRPr="0097223C">
        <w:rPr>
          <w:rFonts w:ascii="DIN Next LT Pro Light" w:hAnsi="DIN Next LT Pro Light"/>
        </w:rPr>
        <w:t xml:space="preserve">Źródłem danych do analizy ekonomiczno-finansowej były sprawozdania finansowe za lata </w:t>
      </w:r>
      <w:r w:rsidR="007D297B" w:rsidRPr="0097223C">
        <w:rPr>
          <w:rFonts w:ascii="DIN Next LT Pro Light" w:hAnsi="DIN Next LT Pro Light"/>
        </w:rPr>
        <w:t>20</w:t>
      </w:r>
      <w:r w:rsidR="00B863EC">
        <w:rPr>
          <w:rFonts w:ascii="DIN Next LT Pro Light" w:hAnsi="DIN Next LT Pro Light"/>
        </w:rPr>
        <w:t>2</w:t>
      </w:r>
      <w:r w:rsidR="00D51527">
        <w:rPr>
          <w:rFonts w:ascii="DIN Next LT Pro Light" w:hAnsi="DIN Next LT Pro Light"/>
        </w:rPr>
        <w:t>3</w:t>
      </w:r>
      <w:r w:rsidRPr="0097223C">
        <w:rPr>
          <w:rFonts w:ascii="DIN Next LT Pro Light" w:hAnsi="DIN Next LT Pro Light"/>
        </w:rPr>
        <w:t>-</w:t>
      </w:r>
      <w:r w:rsidR="007D297B" w:rsidRPr="0097223C">
        <w:rPr>
          <w:rFonts w:ascii="DIN Next LT Pro Light" w:hAnsi="DIN Next LT Pro Light"/>
        </w:rPr>
        <w:t>20</w:t>
      </w:r>
      <w:r w:rsidR="007D297B">
        <w:rPr>
          <w:rFonts w:ascii="DIN Next LT Pro Light" w:hAnsi="DIN Next LT Pro Light"/>
        </w:rPr>
        <w:t>2</w:t>
      </w:r>
      <w:r w:rsidR="00D51527">
        <w:rPr>
          <w:rFonts w:ascii="DIN Next LT Pro Light" w:hAnsi="DIN Next LT Pro Light"/>
        </w:rPr>
        <w:t>4</w:t>
      </w:r>
      <w:r w:rsidRPr="0097223C">
        <w:rPr>
          <w:rFonts w:ascii="DIN Next LT Pro Light" w:hAnsi="DIN Next LT Pro Light"/>
        </w:rPr>
        <w:t xml:space="preserve">. </w:t>
      </w:r>
    </w:p>
    <w:p w:rsidR="00E32474" w:rsidRPr="0097223C" w:rsidRDefault="004D0C23" w:rsidP="00FD7E53">
      <w:pPr>
        <w:pStyle w:val="Bezodstpw"/>
        <w:spacing w:line="360" w:lineRule="auto"/>
        <w:jc w:val="both"/>
        <w:rPr>
          <w:rFonts w:ascii="DIN Next LT Pro Light" w:hAnsi="DIN Next LT Pro Light"/>
        </w:rPr>
      </w:pPr>
      <w:r w:rsidRPr="0097223C">
        <w:rPr>
          <w:rFonts w:ascii="DIN Next LT Pro Light" w:hAnsi="DIN Next LT Pro Light"/>
        </w:rPr>
        <w:t>Bilans – Aktywa (zł)</w:t>
      </w:r>
    </w:p>
    <w:tbl>
      <w:tblPr>
        <w:tblW w:w="97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5172"/>
        <w:gridCol w:w="1843"/>
        <w:gridCol w:w="1984"/>
      </w:tblGrid>
      <w:tr w:rsidR="00FD7E53" w:rsidRPr="0097223C" w:rsidTr="005149B4">
        <w:trPr>
          <w:trHeight w:val="284"/>
        </w:trPr>
        <w:tc>
          <w:tcPr>
            <w:tcW w:w="795" w:type="dxa"/>
            <w:shd w:val="clear" w:color="000000" w:fill="B8CCE4"/>
            <w:vAlign w:val="center"/>
            <w:hideMark/>
          </w:tcPr>
          <w:p w:rsidR="00FD7E53" w:rsidRPr="0097223C" w:rsidRDefault="00FD7E53" w:rsidP="00FD7E5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5172" w:type="dxa"/>
            <w:shd w:val="clear" w:color="000000" w:fill="B8CCE4"/>
            <w:noWrap/>
            <w:vAlign w:val="center"/>
            <w:hideMark/>
          </w:tcPr>
          <w:p w:rsidR="00FD7E53" w:rsidRPr="0097223C" w:rsidRDefault="00FD7E53" w:rsidP="00FD7E5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843" w:type="dxa"/>
            <w:shd w:val="clear" w:color="000000" w:fill="B8CCE4"/>
            <w:noWrap/>
            <w:vAlign w:val="center"/>
            <w:hideMark/>
          </w:tcPr>
          <w:p w:rsidR="00FD7E53" w:rsidRPr="00306870" w:rsidRDefault="00FD7E53" w:rsidP="005729AA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306870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F142E3" w:rsidRPr="00306870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  <w:r w:rsidR="00B863E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D51527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shd w:val="clear" w:color="000000" w:fill="B8CCE4"/>
            <w:noWrap/>
            <w:vAlign w:val="center"/>
            <w:hideMark/>
          </w:tcPr>
          <w:p w:rsidR="00FD7E53" w:rsidRPr="00306870" w:rsidRDefault="00D51527" w:rsidP="00E70997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2023</w:t>
            </w:r>
          </w:p>
        </w:tc>
      </w:tr>
      <w:tr w:rsidR="00FD7E53" w:rsidRPr="0097223C" w:rsidTr="005149B4">
        <w:trPr>
          <w:trHeight w:val="284"/>
        </w:trPr>
        <w:tc>
          <w:tcPr>
            <w:tcW w:w="9794" w:type="dxa"/>
            <w:gridSpan w:val="4"/>
            <w:shd w:val="clear" w:color="000000" w:fill="FFFF00"/>
            <w:noWrap/>
            <w:vAlign w:val="center"/>
            <w:hideMark/>
          </w:tcPr>
          <w:p w:rsidR="00FD7E53" w:rsidRPr="0097223C" w:rsidRDefault="00FD7E53" w:rsidP="00FD7E5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AKTYWA</w:t>
            </w:r>
          </w:p>
        </w:tc>
      </w:tr>
      <w:tr w:rsidR="00B863EC" w:rsidRPr="0097223C" w:rsidTr="00E276DA">
        <w:trPr>
          <w:trHeight w:val="284"/>
        </w:trPr>
        <w:tc>
          <w:tcPr>
            <w:tcW w:w="795" w:type="dxa"/>
            <w:shd w:val="clear" w:color="000000" w:fill="B8CCE4"/>
            <w:noWrap/>
            <w:vAlign w:val="center"/>
            <w:hideMark/>
          </w:tcPr>
          <w:p w:rsidR="00B863EC" w:rsidRPr="0097223C" w:rsidRDefault="00B863EC" w:rsidP="00FD7E5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5172" w:type="dxa"/>
            <w:shd w:val="clear" w:color="000000" w:fill="B8CCE4"/>
            <w:noWrap/>
            <w:vAlign w:val="center"/>
            <w:hideMark/>
          </w:tcPr>
          <w:p w:rsidR="00B863EC" w:rsidRPr="0097223C" w:rsidRDefault="00B863EC" w:rsidP="00FD7E5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Aktywa trwałe</w:t>
            </w:r>
          </w:p>
        </w:tc>
        <w:tc>
          <w:tcPr>
            <w:tcW w:w="1843" w:type="dxa"/>
            <w:shd w:val="clear" w:color="000000" w:fill="B8CCE4"/>
            <w:noWrap/>
            <w:vAlign w:val="center"/>
          </w:tcPr>
          <w:p w:rsidR="00B863EC" w:rsidRPr="0097223C" w:rsidRDefault="00C537F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84 441 019</w:t>
            </w:r>
          </w:p>
        </w:tc>
        <w:tc>
          <w:tcPr>
            <w:tcW w:w="1984" w:type="dxa"/>
            <w:shd w:val="clear" w:color="000000" w:fill="B8CCE4"/>
            <w:noWrap/>
            <w:vAlign w:val="center"/>
          </w:tcPr>
          <w:p w:rsidR="00B863EC" w:rsidRPr="0097223C" w:rsidRDefault="00FA5D80" w:rsidP="00B863EC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86 918 279</w:t>
            </w:r>
          </w:p>
        </w:tc>
      </w:tr>
      <w:tr w:rsidR="00B863EC" w:rsidRPr="0097223C" w:rsidTr="00E276DA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Wartości niematerialne i prawne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05262D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</w:t>
            </w:r>
            <w:r w:rsidR="00CE04C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760</w:t>
            </w:r>
            <w:r w:rsidR="00CE04C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FA5D80" w:rsidP="00B863EC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2 004 758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A.I.1.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Koszty zakończonych prac rozwojowych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A.I.2.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Wartość firmy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A.I.3.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wartości niematerialne i prawne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05262D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1760418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FA5D80" w:rsidP="00B863EC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2 004 758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A.I.4.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Zaliczki na wartości niematerialne i prawne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A.II.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Rzeczowe aktywa trwałe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F57147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82 680 601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FA5D80" w:rsidP="00B863EC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84 913 521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trwałe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57147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78 227 178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FA5D80" w:rsidP="00B863EC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84 641 792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A.II.1.a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grunty (w tym prawo użytkowania wieczystego gruntu)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57147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354 524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FA5D80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354 524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A.II.1.b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budynki, lokale, prawa do lokali  i obiekty inżynierii lądowej i wodnej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57147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67 550 327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FA5D80" w:rsidP="005302B2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70 898 008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A.II.1.c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urządzenia techniczne i maszyny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7147" w:rsidRPr="0097223C" w:rsidRDefault="00F57147" w:rsidP="00F5714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3 655 383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FA5D80" w:rsidP="005302B2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3 350 367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A.II.1.d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transportu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6D362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2 263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A.II.1.e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środki trwałe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6 664 681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FA5D80" w:rsidP="005302B2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10 038 893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A.II.2.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trwałe w budowie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4 453 423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FA5D80" w:rsidP="005302B2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271 728</w:t>
            </w:r>
          </w:p>
        </w:tc>
      </w:tr>
      <w:tr w:rsidR="00B863EC" w:rsidRPr="0097223C" w:rsidTr="00FA5D80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A.III.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Należności długoterminowe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863EC" w:rsidRPr="0097223C" w:rsidTr="00FA5D80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A.IV.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Inwestycje długoterminowe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863EC" w:rsidRPr="0097223C" w:rsidTr="00FA5D80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A.V.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Długoterminowe rozliczenia międzyokresowe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000000" w:fill="B8CCE4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5172" w:type="dxa"/>
            <w:shd w:val="clear" w:color="000000" w:fill="B8CCE4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Aktywa obrotowe</w:t>
            </w:r>
          </w:p>
        </w:tc>
        <w:tc>
          <w:tcPr>
            <w:tcW w:w="1843" w:type="dxa"/>
            <w:shd w:val="clear" w:color="000000" w:fill="B8CCE4"/>
            <w:noWrap/>
            <w:vAlign w:val="center"/>
          </w:tcPr>
          <w:p w:rsidR="00B863EC" w:rsidRPr="0097223C" w:rsidRDefault="00F43F0F" w:rsidP="008D1DBA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36 668 466</w:t>
            </w:r>
          </w:p>
        </w:tc>
        <w:tc>
          <w:tcPr>
            <w:tcW w:w="1984" w:type="dxa"/>
            <w:shd w:val="clear" w:color="000000" w:fill="B8CCE4"/>
            <w:noWrap/>
            <w:vAlign w:val="center"/>
          </w:tcPr>
          <w:p w:rsidR="00B863EC" w:rsidRPr="0097223C" w:rsidRDefault="00A646C3" w:rsidP="000F24F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34 976 464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Zapasy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1 573 870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A646C3" w:rsidP="000F24F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1 393 090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B.I.1.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Materiały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1 573 870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A646C3" w:rsidP="000F24F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1 393 090</w:t>
            </w:r>
          </w:p>
        </w:tc>
      </w:tr>
      <w:tr w:rsidR="00B863EC" w:rsidRPr="0097223C" w:rsidTr="00EE19BA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B.I.5.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Zaliczki na dostawy i usługi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EE19BA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Należności krótkoterminowe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8 149 209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A646C3" w:rsidP="00F83C1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9 217 435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B.II.1.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Należności od jednostek powiązanych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B.II.2.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Należności od pozostałych jednostek, w których jednostka posiada zaangażowanie w kapitale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EE19BA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Należności od pozostałych jednostek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8 149 209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A646C3" w:rsidP="00F83C1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9 217 435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B.II.3.a.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dostaw i usług, o okresie spłaty:</w:t>
            </w:r>
          </w:p>
        </w:tc>
        <w:tc>
          <w:tcPr>
            <w:tcW w:w="1843" w:type="dxa"/>
            <w:shd w:val="clear" w:color="auto" w:fill="auto"/>
            <w:noWrap/>
          </w:tcPr>
          <w:p w:rsidR="00B863EC" w:rsidRPr="003011D6" w:rsidRDefault="00F43F0F" w:rsidP="0033185D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8 149 209</w:t>
            </w:r>
          </w:p>
        </w:tc>
        <w:tc>
          <w:tcPr>
            <w:tcW w:w="1984" w:type="dxa"/>
            <w:shd w:val="clear" w:color="auto" w:fill="auto"/>
            <w:noWrap/>
          </w:tcPr>
          <w:p w:rsidR="00B863EC" w:rsidRPr="003011D6" w:rsidRDefault="00A646C3" w:rsidP="00F83C1E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9 217 435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B.II.3.a.-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do 12 miesięcy</w:t>
            </w:r>
          </w:p>
        </w:tc>
        <w:tc>
          <w:tcPr>
            <w:tcW w:w="1843" w:type="dxa"/>
            <w:shd w:val="clear" w:color="auto" w:fill="auto"/>
            <w:noWrap/>
          </w:tcPr>
          <w:p w:rsidR="00B863EC" w:rsidRPr="003011D6" w:rsidRDefault="00F43F0F" w:rsidP="0033185D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8 149 209</w:t>
            </w:r>
          </w:p>
        </w:tc>
        <w:tc>
          <w:tcPr>
            <w:tcW w:w="1984" w:type="dxa"/>
            <w:shd w:val="clear" w:color="auto" w:fill="auto"/>
            <w:noWrap/>
          </w:tcPr>
          <w:p w:rsidR="00B863EC" w:rsidRPr="003011D6" w:rsidRDefault="00A646C3" w:rsidP="00F83C1E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9 217 435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B.II.3.a.-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powyżej 12 miesięcy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B.II.3.b.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podatków, dotacji, ceł, ubezpieczeń społecznych i zdrowotnych oraz innych tytułów publicznoprawnych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</w:t>
            </w: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EE19BA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B.III.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Inwestycje krótkoterminowe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26 768 794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A646C3" w:rsidP="00F83C1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24 262 380</w:t>
            </w:r>
          </w:p>
        </w:tc>
      </w:tr>
      <w:tr w:rsidR="00B863EC" w:rsidRPr="0097223C" w:rsidTr="00EE19BA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Krótkoterminowe aktywa finansowe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26 768 794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A646C3" w:rsidP="00F83C1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24 262 380</w:t>
            </w:r>
          </w:p>
        </w:tc>
      </w:tr>
      <w:tr w:rsidR="00B863EC" w:rsidRPr="0097223C" w:rsidTr="00D51527">
        <w:trPr>
          <w:trHeight w:val="25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B.III.1.a.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w jednostkach powiązanych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B.III.1.b.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w pozostałych jednostkach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B.III.1.c.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pieniężne i inne aktywa pieniężne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26 768 794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A646C3" w:rsidP="00F83C1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24 262 380</w:t>
            </w:r>
          </w:p>
        </w:tc>
      </w:tr>
      <w:tr w:rsidR="00B863EC" w:rsidRPr="0097223C" w:rsidTr="00EE19BA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B.III.1.c.-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pieniężne w kasie i na rachunkach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22 768 794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A646C3" w:rsidP="00F83C1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20 262 380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B.III.1.c.-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środki pieniężne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3F0F" w:rsidRPr="0097223C" w:rsidRDefault="00F43F0F" w:rsidP="00F43F0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4 000 000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863EC" w:rsidRPr="0097223C" w:rsidRDefault="00A646C3" w:rsidP="00F83C1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4 000 000</w:t>
            </w:r>
          </w:p>
        </w:tc>
      </w:tr>
      <w:tr w:rsidR="0033185D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33185D" w:rsidRPr="0097223C" w:rsidRDefault="0033185D" w:rsidP="0033185D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B.III.1.c.-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:rsidR="0033185D" w:rsidRPr="0097223C" w:rsidRDefault="0033185D" w:rsidP="0033185D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 xml:space="preserve">Inne 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aktywa</w:t>
            </w: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 xml:space="preserve"> pieniężne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185D" w:rsidRPr="0097223C" w:rsidRDefault="0033185D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3185D" w:rsidRPr="0097223C" w:rsidRDefault="0033185D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B.IV.</w:t>
            </w:r>
          </w:p>
        </w:tc>
        <w:tc>
          <w:tcPr>
            <w:tcW w:w="5172" w:type="dxa"/>
            <w:shd w:val="clear" w:color="000000" w:fill="F2F2F2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Krótkoterminowe rozliczenia międzyokresowe</w:t>
            </w:r>
          </w:p>
        </w:tc>
        <w:tc>
          <w:tcPr>
            <w:tcW w:w="1843" w:type="dxa"/>
            <w:shd w:val="clear" w:color="000000" w:fill="F2F2F2"/>
            <w:noWrap/>
            <w:vAlign w:val="center"/>
          </w:tcPr>
          <w:p w:rsidR="00B863EC" w:rsidRPr="0097223C" w:rsidRDefault="00F43F0F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176 593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B863EC" w:rsidRPr="0097223C" w:rsidRDefault="00A646C3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103 559</w:t>
            </w:r>
          </w:p>
        </w:tc>
      </w:tr>
      <w:tr w:rsidR="00B863EC" w:rsidRPr="0097223C" w:rsidTr="00D51527">
        <w:trPr>
          <w:trHeight w:val="284"/>
        </w:trPr>
        <w:tc>
          <w:tcPr>
            <w:tcW w:w="795" w:type="dxa"/>
            <w:shd w:val="clear" w:color="000000" w:fill="B8CCE4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5172" w:type="dxa"/>
            <w:shd w:val="clear" w:color="000000" w:fill="B8CCE4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Należne wpłaty na kapitał (fundusz) podstawowy</w:t>
            </w:r>
          </w:p>
        </w:tc>
        <w:tc>
          <w:tcPr>
            <w:tcW w:w="1843" w:type="dxa"/>
            <w:shd w:val="clear" w:color="000000" w:fill="B8CCE4"/>
            <w:noWrap/>
            <w:vAlign w:val="center"/>
            <w:hideMark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</w:t>
            </w:r>
          </w:p>
        </w:tc>
        <w:tc>
          <w:tcPr>
            <w:tcW w:w="1984" w:type="dxa"/>
            <w:shd w:val="clear" w:color="000000" w:fill="B8CCE4"/>
            <w:noWrap/>
            <w:vAlign w:val="center"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863EC" w:rsidRPr="0097223C" w:rsidTr="005149B4">
        <w:trPr>
          <w:trHeight w:val="284"/>
        </w:trPr>
        <w:tc>
          <w:tcPr>
            <w:tcW w:w="795" w:type="dxa"/>
            <w:tcBorders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lastRenderedPageBreak/>
              <w:t>D.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Udziały (akcje) własne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863EC" w:rsidRPr="0097223C" w:rsidRDefault="00B863EC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                         -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863EC" w:rsidRPr="0097223C" w:rsidRDefault="00B863EC" w:rsidP="00F142E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                         -      </w:t>
            </w:r>
          </w:p>
        </w:tc>
      </w:tr>
      <w:tr w:rsidR="00B863EC" w:rsidRPr="0097223C" w:rsidTr="00F142E3">
        <w:trPr>
          <w:trHeight w:val="221"/>
        </w:trPr>
        <w:tc>
          <w:tcPr>
            <w:tcW w:w="5967" w:type="dxa"/>
            <w:gridSpan w:val="2"/>
            <w:shd w:val="clear" w:color="auto" w:fill="FFFF00"/>
            <w:noWrap/>
            <w:vAlign w:val="center"/>
            <w:hideMark/>
          </w:tcPr>
          <w:p w:rsidR="00B863EC" w:rsidRPr="0097223C" w:rsidRDefault="00B863EC" w:rsidP="00C231D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RAZEM  AKTYWA</w:t>
            </w:r>
          </w:p>
        </w:tc>
        <w:tc>
          <w:tcPr>
            <w:tcW w:w="1843" w:type="dxa"/>
            <w:shd w:val="clear" w:color="auto" w:fill="FFFF00"/>
            <w:noWrap/>
            <w:vAlign w:val="center"/>
            <w:hideMark/>
          </w:tcPr>
          <w:p w:rsidR="00B863EC" w:rsidRPr="0097223C" w:rsidRDefault="00F43F0F" w:rsidP="005729AA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121 109 485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B863EC" w:rsidRPr="0097223C" w:rsidRDefault="00D51527" w:rsidP="0033185D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121</w:t>
            </w:r>
            <w:r w:rsidR="00A4712B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894</w:t>
            </w:r>
            <w:r w:rsidR="00A4712B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743</w:t>
            </w:r>
          </w:p>
        </w:tc>
      </w:tr>
    </w:tbl>
    <w:p w:rsidR="00CE04C9" w:rsidRDefault="00CE04C9" w:rsidP="004D0C23">
      <w:pPr>
        <w:pStyle w:val="Bezodstpw"/>
        <w:spacing w:line="360" w:lineRule="auto"/>
        <w:jc w:val="both"/>
        <w:rPr>
          <w:rFonts w:ascii="DIN Next LT Pro Light" w:hAnsi="DIN Next LT Pro Light"/>
        </w:rPr>
      </w:pPr>
    </w:p>
    <w:p w:rsidR="004D0C23" w:rsidRPr="0097223C" w:rsidRDefault="004D0C23" w:rsidP="004D0C23">
      <w:pPr>
        <w:pStyle w:val="Bezodstpw"/>
        <w:spacing w:line="360" w:lineRule="auto"/>
        <w:jc w:val="both"/>
        <w:rPr>
          <w:rFonts w:ascii="DIN Next LT Pro Light" w:hAnsi="DIN Next LT Pro Light"/>
        </w:rPr>
      </w:pPr>
      <w:r w:rsidRPr="0097223C">
        <w:rPr>
          <w:rFonts w:ascii="DIN Next LT Pro Light" w:hAnsi="DIN Next LT Pro Light"/>
        </w:rPr>
        <w:t>Bilans – Pasywa (zł)</w:t>
      </w:r>
    </w:p>
    <w:tbl>
      <w:tblPr>
        <w:tblW w:w="97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5103"/>
        <w:gridCol w:w="1912"/>
        <w:gridCol w:w="1984"/>
      </w:tblGrid>
      <w:tr w:rsidR="00D3670F" w:rsidRPr="0097223C" w:rsidTr="00C63D60">
        <w:trPr>
          <w:trHeight w:val="284"/>
        </w:trPr>
        <w:tc>
          <w:tcPr>
            <w:tcW w:w="795" w:type="dxa"/>
            <w:shd w:val="clear" w:color="000000" w:fill="B8CCE4"/>
            <w:vAlign w:val="center"/>
            <w:hideMark/>
          </w:tcPr>
          <w:p w:rsidR="00D3670F" w:rsidRPr="0097223C" w:rsidRDefault="00D3670F" w:rsidP="00D3670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5103" w:type="dxa"/>
            <w:shd w:val="clear" w:color="000000" w:fill="B8CCE4"/>
            <w:noWrap/>
            <w:vAlign w:val="center"/>
            <w:hideMark/>
          </w:tcPr>
          <w:p w:rsidR="00D3670F" w:rsidRPr="0097223C" w:rsidRDefault="00D3670F" w:rsidP="00D3670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12" w:type="dxa"/>
            <w:shd w:val="clear" w:color="000000" w:fill="B8CCE4"/>
            <w:noWrap/>
            <w:vAlign w:val="center"/>
            <w:hideMark/>
          </w:tcPr>
          <w:p w:rsidR="00D3670F" w:rsidRPr="0097223C" w:rsidRDefault="00C231D0" w:rsidP="00D3670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</w:t>
            </w:r>
            <w:r w:rsidR="00C931B5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D51527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shd w:val="clear" w:color="000000" w:fill="B8CCE4"/>
            <w:noWrap/>
            <w:vAlign w:val="center"/>
            <w:hideMark/>
          </w:tcPr>
          <w:p w:rsidR="00D3670F" w:rsidRPr="0097223C" w:rsidRDefault="00D51527" w:rsidP="00D3670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2023</w:t>
            </w:r>
          </w:p>
        </w:tc>
      </w:tr>
      <w:tr w:rsidR="007E2B65" w:rsidRPr="0097223C" w:rsidTr="00C63D60">
        <w:trPr>
          <w:trHeight w:val="284"/>
        </w:trPr>
        <w:tc>
          <w:tcPr>
            <w:tcW w:w="9794" w:type="dxa"/>
            <w:gridSpan w:val="4"/>
            <w:shd w:val="clear" w:color="000000" w:fill="FFFF00"/>
            <w:noWrap/>
            <w:vAlign w:val="center"/>
            <w:hideMark/>
          </w:tcPr>
          <w:p w:rsidR="007E2B65" w:rsidRPr="0097223C" w:rsidRDefault="007E2B65" w:rsidP="00D3670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PASYWA</w:t>
            </w: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000000" w:fill="B8CCE4"/>
            <w:noWrap/>
            <w:vAlign w:val="center"/>
            <w:hideMark/>
          </w:tcPr>
          <w:p w:rsidR="00DE4467" w:rsidRPr="0097223C" w:rsidRDefault="00DE4467" w:rsidP="00D3670F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5103" w:type="dxa"/>
            <w:shd w:val="clear" w:color="000000" w:fill="B8CCE4"/>
            <w:noWrap/>
            <w:vAlign w:val="center"/>
            <w:hideMark/>
          </w:tcPr>
          <w:p w:rsidR="00DE4467" w:rsidRPr="0097223C" w:rsidRDefault="00DE4467" w:rsidP="00D3670F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Kapitał (fundusz) własny</w:t>
            </w:r>
          </w:p>
        </w:tc>
        <w:tc>
          <w:tcPr>
            <w:tcW w:w="1912" w:type="dxa"/>
            <w:shd w:val="clear" w:color="000000" w:fill="B8CCE4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44 679 492</w:t>
            </w:r>
          </w:p>
        </w:tc>
        <w:tc>
          <w:tcPr>
            <w:tcW w:w="1984" w:type="dxa"/>
            <w:shd w:val="clear" w:color="000000" w:fill="B8CCE4"/>
            <w:noWrap/>
            <w:vAlign w:val="center"/>
          </w:tcPr>
          <w:p w:rsidR="00DE4467" w:rsidRPr="0097223C" w:rsidRDefault="00A646C3" w:rsidP="00DE446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44 337 965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A.I.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Kapitał (fundusz) podstawowy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29 843 660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A646C3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29 843 660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A.II. </w:t>
            </w:r>
          </w:p>
        </w:tc>
        <w:tc>
          <w:tcPr>
            <w:tcW w:w="5103" w:type="dxa"/>
            <w:shd w:val="clear" w:color="000000" w:fill="F2F2F2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Kapitał (fundusz)  zapasowy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14 494 306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A646C3" w:rsidP="00DE446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12 539 616</w:t>
            </w: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D3670F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A.III.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D3670F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Kapitał (fundusz) z aktualizacji wyceny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DE4467" w:rsidP="00D3670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D3670F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A.IV.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D3670F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Pozostałe kapitały (fundusze) rezerwowe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DE4467" w:rsidP="00D3670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D3670F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A.V.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D3670F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Zysk (strata) z lat ubiegłych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DE4467" w:rsidP="00D3670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A.VI.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Zysk (strata) netto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341 526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A646C3" w:rsidP="00DE446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</w:t>
            </w:r>
            <w:r w:rsidR="00CE04C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954 689</w:t>
            </w: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A.VI.1.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Zysk (wielkość dodatnia)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341 526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A646C3" w:rsidP="00DE446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</w:t>
            </w:r>
            <w:r w:rsidR="00CE04C9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954 689</w:t>
            </w: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A.VI.2.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Strata (wielkość ujemna)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A.VII.</w:t>
            </w:r>
          </w:p>
        </w:tc>
        <w:tc>
          <w:tcPr>
            <w:tcW w:w="5103" w:type="dxa"/>
            <w:shd w:val="clear" w:color="000000" w:fill="F2F2F2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Odpisy z zysku netto w ciągu roku obrotowego (wielkość ujemna)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000000" w:fill="B8CCE4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5103" w:type="dxa"/>
            <w:shd w:val="clear" w:color="000000" w:fill="B8CCE4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Zobowiązania i rezerwy na zobowiązania</w:t>
            </w:r>
          </w:p>
        </w:tc>
        <w:tc>
          <w:tcPr>
            <w:tcW w:w="1912" w:type="dxa"/>
            <w:shd w:val="clear" w:color="000000" w:fill="B8CCE4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76 429 993</w:t>
            </w:r>
          </w:p>
        </w:tc>
        <w:tc>
          <w:tcPr>
            <w:tcW w:w="1984" w:type="dxa"/>
            <w:shd w:val="clear" w:color="000000" w:fill="B8CCE4"/>
            <w:noWrap/>
            <w:vAlign w:val="center"/>
          </w:tcPr>
          <w:p w:rsidR="00DE4467" w:rsidRPr="0097223C" w:rsidRDefault="0007176A" w:rsidP="00FB456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77 556 778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B.I.</w:t>
            </w:r>
          </w:p>
        </w:tc>
        <w:tc>
          <w:tcPr>
            <w:tcW w:w="5103" w:type="dxa"/>
            <w:shd w:val="clear" w:color="000000" w:fill="F2F2F2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Rezerwy na zobowiązania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6 895 423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5 356 583</w:t>
            </w: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B.I.1.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Rezerwa z tytułu odroczonego podatku dochodowego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B.I.2.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Rezerwa na świadczenia emerytalne i podobne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713C9B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6 895 423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5 356 583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B.I.2.-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długoterminowa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 xml:space="preserve">5 429 323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4 478 060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B.I.2.-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krótkoterminowa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1 466 100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878 553</w:t>
            </w:r>
          </w:p>
        </w:tc>
      </w:tr>
      <w:tr w:rsidR="00DE4467" w:rsidRPr="0097223C" w:rsidTr="00D51527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B.II.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Zobowiązania długoterminowe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B.III.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Zobowiązania krótkoterminowe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14 546 199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11 426 932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Zobowiązania wobec jednostek powiązanych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Zobowiązania wobec pozostałych jednostek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14 546 199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11 426 932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B.III.3.a.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kredyty i pożyczki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B.III.3.b.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emisji dłużnych papierów wartościowych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B.III.3.c.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zobowiązania finansowe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B.III.3.d.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dostaw i usług, o okresie wymagalności: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3 705 747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4 690 947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B.III.3.d.-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do 12 miesięcy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3 705 747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4 690 947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B.III.3.e.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zaliczki otrzymane na dostawy i usługi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B.III.3.f.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zobowiązania wekslowe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B.III.3.g.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podatków, ceł, ubezpieczeń społecznych i zdrowotnych oraz innych tytułów publicznoprawnych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3 429 050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3 825 829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B.III.3.h.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wynagrodzeń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2 437 310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2 672 466</w:t>
            </w:r>
          </w:p>
        </w:tc>
      </w:tr>
      <w:tr w:rsidR="00C231D0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B.III.3.i.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C231D0" w:rsidRPr="0097223C" w:rsidRDefault="00353230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4 958 423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231D0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152 659</w:t>
            </w:r>
          </w:p>
        </w:tc>
      </w:tr>
      <w:tr w:rsidR="00C231D0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B.III.4.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Fundusze specjalne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C231D0" w:rsidRPr="008636CA" w:rsidRDefault="00353230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15 669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231D0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85 031</w:t>
            </w:r>
          </w:p>
        </w:tc>
      </w:tr>
      <w:tr w:rsidR="00C231D0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B.III.4.-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w tym zakładowy fundusz świadczeń socjalnych (ZFŚS)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C231D0" w:rsidRPr="0097223C" w:rsidRDefault="00353230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15 669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231D0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85 031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000000" w:fill="F2F2F2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B.IV.</w:t>
            </w:r>
          </w:p>
        </w:tc>
        <w:tc>
          <w:tcPr>
            <w:tcW w:w="5103" w:type="dxa"/>
            <w:shd w:val="clear" w:color="000000" w:fill="F2F2F2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Rozliczenia międzyokresowe</w:t>
            </w:r>
          </w:p>
        </w:tc>
        <w:tc>
          <w:tcPr>
            <w:tcW w:w="1912" w:type="dxa"/>
            <w:shd w:val="clear" w:color="000000" w:fill="F2F2F2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54 988 371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60 773 263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B.IV.1.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Ujemna wartość firmy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DE446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DE446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B.IV.2.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rozliczenia międzyokresowe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54 988 371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60 773 263</w:t>
            </w:r>
          </w:p>
        </w:tc>
      </w:tr>
      <w:tr w:rsidR="00DE4467" w:rsidRPr="0097223C" w:rsidTr="009C16A2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B.IV.2.-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E4467" w:rsidRPr="0097223C" w:rsidRDefault="00DE4467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Długoterminowe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DE4467" w:rsidRPr="0097223C" w:rsidRDefault="0035323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54 988 371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E4467" w:rsidRPr="0097223C" w:rsidRDefault="0007176A" w:rsidP="00F6574F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60 773 263</w:t>
            </w:r>
          </w:p>
        </w:tc>
      </w:tr>
      <w:tr w:rsidR="00C231D0" w:rsidRPr="0097223C" w:rsidTr="0007176A">
        <w:trPr>
          <w:trHeight w:val="284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B.IV.2.-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Krótkoterminowe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C231D0" w:rsidRPr="0097223C" w:rsidRDefault="00C231D0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231D0" w:rsidRPr="0097223C" w:rsidRDefault="00C231D0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C231D0" w:rsidRPr="0097223C" w:rsidTr="00D51527">
        <w:trPr>
          <w:trHeight w:val="284"/>
        </w:trPr>
        <w:tc>
          <w:tcPr>
            <w:tcW w:w="5898" w:type="dxa"/>
            <w:gridSpan w:val="2"/>
            <w:shd w:val="clear" w:color="000000" w:fill="FFFF00"/>
            <w:noWrap/>
            <w:vAlign w:val="center"/>
            <w:hideMark/>
          </w:tcPr>
          <w:p w:rsidR="00C231D0" w:rsidRPr="0097223C" w:rsidRDefault="00C231D0" w:rsidP="00C231D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RAZEM  PASYWA</w:t>
            </w:r>
          </w:p>
        </w:tc>
        <w:tc>
          <w:tcPr>
            <w:tcW w:w="1912" w:type="dxa"/>
            <w:shd w:val="clear" w:color="000000" w:fill="FFFF00"/>
            <w:noWrap/>
            <w:vAlign w:val="center"/>
            <w:hideMark/>
          </w:tcPr>
          <w:p w:rsidR="00C231D0" w:rsidRPr="0097223C" w:rsidRDefault="00353230" w:rsidP="005729AA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121 109 485</w:t>
            </w:r>
          </w:p>
        </w:tc>
        <w:tc>
          <w:tcPr>
            <w:tcW w:w="1984" w:type="dxa"/>
            <w:shd w:val="clear" w:color="000000" w:fill="FFFF00"/>
            <w:noWrap/>
            <w:vAlign w:val="center"/>
          </w:tcPr>
          <w:p w:rsidR="00C231D0" w:rsidRPr="0097223C" w:rsidRDefault="00D51527" w:rsidP="00C231D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121 894 743</w:t>
            </w:r>
          </w:p>
        </w:tc>
      </w:tr>
    </w:tbl>
    <w:p w:rsidR="00821B3B" w:rsidRPr="0097223C" w:rsidRDefault="00821B3B" w:rsidP="00075097">
      <w:pPr>
        <w:pStyle w:val="Bezodstpw"/>
        <w:spacing w:line="360" w:lineRule="auto"/>
        <w:jc w:val="both"/>
        <w:rPr>
          <w:rStyle w:val="FontStyle169"/>
          <w:rFonts w:ascii="DIN Next LT Pro Light" w:hAnsi="DIN Next LT Pro Light"/>
          <w:sz w:val="22"/>
          <w:szCs w:val="22"/>
        </w:rPr>
      </w:pPr>
    </w:p>
    <w:p w:rsidR="000A29EC" w:rsidRPr="005B5977" w:rsidRDefault="000A29EC" w:rsidP="000A29EC">
      <w:pPr>
        <w:pStyle w:val="Bezodstpw"/>
        <w:spacing w:line="360" w:lineRule="auto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5B5977">
        <w:rPr>
          <w:rStyle w:val="FontStyle169"/>
          <w:rFonts w:ascii="DIN Next LT Pro Light" w:hAnsi="DIN Next LT Pro Light"/>
          <w:color w:val="auto"/>
          <w:sz w:val="22"/>
          <w:szCs w:val="22"/>
        </w:rPr>
        <w:lastRenderedPageBreak/>
        <w:t>Zgodnie z danymi wynikającymi z bilansu analitycznego na sytuację jednostki istotnie wpływają poniższe aspekty:</w:t>
      </w:r>
    </w:p>
    <w:p w:rsidR="000A29EC" w:rsidRPr="005B5977" w:rsidRDefault="000A29EC" w:rsidP="000A29EC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Style w:val="FontStyle169"/>
          <w:rFonts w:ascii="DIN Next LT Pro Light" w:hAnsi="DIN Next LT Pro Light"/>
          <w:color w:val="FF0000"/>
          <w:sz w:val="22"/>
          <w:szCs w:val="22"/>
        </w:rPr>
      </w:pPr>
      <w:r w:rsidRPr="005B5977">
        <w:rPr>
          <w:rStyle w:val="FontStyle169"/>
          <w:rFonts w:ascii="DIN Next LT Pro Light" w:hAnsi="DIN Next LT Pro Light"/>
          <w:color w:val="auto"/>
          <w:sz w:val="22"/>
          <w:szCs w:val="22"/>
        </w:rPr>
        <w:t>aktywa trwałe stanowią</w:t>
      </w:r>
      <w:r w:rsidR="00361F54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69,72</w:t>
      </w:r>
      <w:r w:rsidRPr="005B5977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% całego majątku Zakładu, w tym rzeczowe aktywa trwałe </w:t>
      </w:r>
      <w:r w:rsidRPr="005B5977">
        <w:rPr>
          <w:rStyle w:val="FontStyle169"/>
          <w:rFonts w:ascii="DIN Next LT Pro Light" w:hAnsi="DIN Next LT Pro Light"/>
          <w:color w:val="auto"/>
          <w:sz w:val="22"/>
          <w:szCs w:val="22"/>
        </w:rPr>
        <w:br/>
        <w:t xml:space="preserve">z udziałem 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>69.6</w:t>
      </w:r>
      <w:r w:rsidR="00361F54">
        <w:rPr>
          <w:rStyle w:val="FontStyle169"/>
          <w:rFonts w:ascii="DIN Next LT Pro Light" w:hAnsi="DIN Next LT Pro Light"/>
          <w:color w:val="auto"/>
          <w:sz w:val="22"/>
          <w:szCs w:val="22"/>
        </w:rPr>
        <w:t>7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Pr="005B5977">
        <w:rPr>
          <w:rStyle w:val="FontStyle169"/>
          <w:rFonts w:ascii="DIN Next LT Pro Light" w:hAnsi="DIN Next LT Pro Light"/>
          <w:color w:val="auto"/>
          <w:sz w:val="22"/>
          <w:szCs w:val="22"/>
        </w:rPr>
        <w:t>% w ogólnej wartości aktywów;</w:t>
      </w:r>
    </w:p>
    <w:p w:rsidR="000A29EC" w:rsidRPr="00EE0183" w:rsidRDefault="000A29EC" w:rsidP="000A29EC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5B5977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w grupie majątku obrotowego odnotowano wzrost o </w:t>
      </w:r>
      <w:r w:rsidR="00361F54">
        <w:rPr>
          <w:rStyle w:val="FontStyle169"/>
          <w:rFonts w:ascii="DIN Next LT Pro Light" w:hAnsi="DIN Next LT Pro Light"/>
          <w:color w:val="auto"/>
          <w:sz w:val="22"/>
          <w:szCs w:val="22"/>
        </w:rPr>
        <w:t>1.692.002,18</w:t>
      </w:r>
      <w:r w:rsidRPr="005B5977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zł</w:t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otych </w:t>
      </w:r>
      <w:r w:rsidRPr="00EE0183">
        <w:rPr>
          <w:rStyle w:val="FontStyle169"/>
          <w:rFonts w:ascii="DIN Next LT Pro Light" w:hAnsi="DIN Next LT Pro Light"/>
          <w:color w:val="auto"/>
          <w:sz w:val="22"/>
          <w:szCs w:val="22"/>
        </w:rPr>
        <w:t>(</w:t>
      </w:r>
      <w:r w:rsidR="00361F54">
        <w:rPr>
          <w:rStyle w:val="FontStyle169"/>
          <w:rFonts w:ascii="DIN Next LT Pro Light" w:hAnsi="DIN Next LT Pro Light"/>
          <w:color w:val="auto"/>
          <w:sz w:val="22"/>
          <w:szCs w:val="22"/>
        </w:rPr>
        <w:t>4,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84</w:t>
      </w:r>
      <w:r w:rsidRPr="00EE0183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% w stosunku </w:t>
      </w:r>
      <w:r w:rsidRPr="00EE0183">
        <w:rPr>
          <w:rStyle w:val="FontStyle169"/>
          <w:rFonts w:ascii="DIN Next LT Pro Light" w:hAnsi="DIN Next LT Pro Light"/>
          <w:color w:val="auto"/>
          <w:sz w:val="22"/>
          <w:szCs w:val="22"/>
        </w:rPr>
        <w:br/>
        <w:t>do 202</w:t>
      </w:r>
      <w:r w:rsidR="00361F54">
        <w:rPr>
          <w:rStyle w:val="FontStyle169"/>
          <w:rFonts w:ascii="DIN Next LT Pro Light" w:hAnsi="DIN Next LT Pro Light"/>
          <w:color w:val="auto"/>
          <w:sz w:val="22"/>
          <w:szCs w:val="22"/>
        </w:rPr>
        <w:t>3</w:t>
      </w:r>
      <w:r w:rsidR="00CE04C9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Pr="00EE0183">
        <w:rPr>
          <w:rStyle w:val="FontStyle169"/>
          <w:rFonts w:ascii="DIN Next LT Pro Light" w:hAnsi="DIN Next LT Pro Light"/>
          <w:color w:val="auto"/>
          <w:sz w:val="22"/>
          <w:szCs w:val="22"/>
        </w:rPr>
        <w:t>r</w:t>
      </w:r>
      <w:r w:rsidR="00CE04C9">
        <w:rPr>
          <w:rStyle w:val="FontStyle169"/>
          <w:rFonts w:ascii="DIN Next LT Pro Light" w:hAnsi="DIN Next LT Pro Light"/>
          <w:color w:val="auto"/>
          <w:sz w:val="22"/>
          <w:szCs w:val="22"/>
        </w:rPr>
        <w:t>.</w:t>
      </w:r>
      <w:r w:rsidRPr="00EE0183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), które obejmuje głównie 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wzrost krótkoterminowych aktywów finansowych o kwotę  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2.506.413,88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złotych. </w:t>
      </w:r>
      <w:r w:rsidR="006A02F0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Środki </w:t>
      </w:r>
      <w:r w:rsidR="006A02F0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zostały 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>zgormadzone na zbliżając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e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się remont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y min.</w:t>
      </w:r>
      <w:r w:rsidR="006A46DB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Centralnej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Sterylizacji w roku 2024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/2025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>.</w:t>
      </w:r>
    </w:p>
    <w:p w:rsidR="000A29EC" w:rsidRPr="000970B9" w:rsidRDefault="00FC589D" w:rsidP="000A29EC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0970B9">
        <w:rPr>
          <w:rStyle w:val="FontStyle169"/>
          <w:rFonts w:ascii="DIN Next LT Pro Light" w:hAnsi="DIN Next LT Pro Light"/>
          <w:color w:val="auto"/>
          <w:sz w:val="22"/>
          <w:szCs w:val="22"/>
        </w:rPr>
        <w:t>Z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>mniejszył</w:t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0A29EC" w:rsidRPr="000970B9">
        <w:rPr>
          <w:rStyle w:val="FontStyle169"/>
          <w:rFonts w:ascii="DIN Next LT Pro Light" w:hAnsi="DIN Next LT Pro Light"/>
          <w:color w:val="auto"/>
          <w:sz w:val="22"/>
          <w:szCs w:val="22"/>
        </w:rPr>
        <w:t>się stan</w:t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należności krótkoterminowych o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1.068.225,08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0A29EC" w:rsidRPr="000970B9">
        <w:rPr>
          <w:rStyle w:val="FontStyle169"/>
          <w:rFonts w:ascii="DIN Next LT Pro Light" w:hAnsi="DIN Next LT Pro Light"/>
          <w:color w:val="auto"/>
          <w:sz w:val="22"/>
          <w:szCs w:val="22"/>
        </w:rPr>
        <w:t>zł w stosunku do roku poprzedniego;</w:t>
      </w:r>
    </w:p>
    <w:p w:rsidR="000A29EC" w:rsidRPr="005B5977" w:rsidRDefault="000A29EC" w:rsidP="000A29EC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Style w:val="FontStyle169"/>
          <w:rFonts w:ascii="DIN Next LT Pro Light" w:hAnsi="DIN Next LT Pro Light"/>
          <w:color w:val="FF0000"/>
          <w:sz w:val="22"/>
          <w:szCs w:val="22"/>
        </w:rPr>
      </w:pPr>
      <w:r w:rsidRPr="005D521B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w pasywach bilansu odnotowano zwiększenie kwotowe funduszy własnych o 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341.526,45</w:t>
      </w:r>
      <w:r w:rsidR="00973BD5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Pr="005D521B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zł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Pr="00EE0183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Pr="005D521B">
        <w:rPr>
          <w:rStyle w:val="FontStyle169"/>
          <w:rFonts w:ascii="DIN Next LT Pro Light" w:hAnsi="DIN Next LT Pro Light"/>
          <w:color w:val="auto"/>
          <w:sz w:val="22"/>
          <w:szCs w:val="22"/>
        </w:rPr>
        <w:t>co jest rezultatem wypracowania zysku w roku 202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4</w:t>
      </w:r>
      <w:r w:rsidRPr="005B5977">
        <w:rPr>
          <w:rStyle w:val="FontStyle169"/>
          <w:rFonts w:ascii="DIN Next LT Pro Light" w:hAnsi="DIN Next LT Pro Light"/>
          <w:color w:val="FF0000"/>
          <w:sz w:val="22"/>
          <w:szCs w:val="22"/>
        </w:rPr>
        <w:t>.</w:t>
      </w:r>
    </w:p>
    <w:p w:rsidR="000A29EC" w:rsidRPr="00EE0183" w:rsidRDefault="000A29EC" w:rsidP="000A29EC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EE0183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udział funduszy własnych w finansowaniu majątku Zakładu na dzień bilansowy wyniósł </w:t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>3</w:t>
      </w:r>
      <w:r w:rsidR="0079708E">
        <w:rPr>
          <w:rStyle w:val="FontStyle169"/>
          <w:rFonts w:ascii="DIN Next LT Pro Light" w:hAnsi="DIN Next LT Pro Light"/>
          <w:color w:val="auto"/>
          <w:sz w:val="22"/>
          <w:szCs w:val="22"/>
        </w:rPr>
        <w:t>6,</w:t>
      </w:r>
      <w:r w:rsid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89</w:t>
      </w:r>
      <w:r w:rsidRPr="00EE0183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%; </w:t>
      </w:r>
    </w:p>
    <w:p w:rsidR="000A29EC" w:rsidRPr="005831BD" w:rsidRDefault="000A29EC" w:rsidP="00F173EC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Fonts w:ascii="DIN Next LT Pro Light" w:hAnsi="DIN Next LT Pro Light"/>
          <w:color w:val="FF0000"/>
        </w:rPr>
      </w:pPr>
      <w:r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w roku 202</w:t>
      </w:r>
      <w:r w:rsidR="005831BD"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4</w:t>
      </w:r>
      <w:r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udział w sumie pasywów stanowiły rozliczenia międzyokresowe, których z</w:t>
      </w:r>
      <w:r w:rsidR="005831BD"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mniejszeni</w:t>
      </w:r>
      <w:r w:rsidR="0079708E"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e</w:t>
      </w:r>
      <w:r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wyniosło </w:t>
      </w:r>
      <w:r w:rsidR="005831BD"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5 784 892,38</w:t>
      </w:r>
      <w:r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złotych, tj.</w:t>
      </w:r>
      <w:r w:rsidR="0079708E"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033D48">
        <w:rPr>
          <w:rStyle w:val="FontStyle169"/>
          <w:rFonts w:ascii="DIN Next LT Pro Light" w:hAnsi="DIN Next LT Pro Light"/>
          <w:color w:val="auto"/>
          <w:sz w:val="22"/>
          <w:szCs w:val="22"/>
        </w:rPr>
        <w:t>9</w:t>
      </w:r>
      <w:r w:rsidR="0079708E"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>,</w:t>
      </w:r>
      <w:r w:rsidR="00033D48">
        <w:rPr>
          <w:rStyle w:val="FontStyle169"/>
          <w:rFonts w:ascii="DIN Next LT Pro Light" w:hAnsi="DIN Next LT Pro Light"/>
          <w:color w:val="auto"/>
          <w:sz w:val="22"/>
          <w:szCs w:val="22"/>
        </w:rPr>
        <w:t>5</w:t>
      </w:r>
      <w:r w:rsidRPr="005831BD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% w stosunku do ubiegłego roku obrotowego. </w:t>
      </w:r>
    </w:p>
    <w:p w:rsidR="00844E07" w:rsidRPr="009C2E80" w:rsidRDefault="000A29EC" w:rsidP="000A29EC">
      <w:pPr>
        <w:pStyle w:val="Akapitzlist"/>
        <w:spacing w:line="360" w:lineRule="auto"/>
        <w:ind w:left="0"/>
        <w:jc w:val="both"/>
        <w:rPr>
          <w:rFonts w:ascii="DIN Next LT Pro Light" w:hAnsi="DIN Next LT Pro Light" w:cs="Arial"/>
          <w:bCs/>
          <w:sz w:val="22"/>
          <w:szCs w:val="22"/>
        </w:rPr>
      </w:pPr>
      <w:r w:rsidRPr="00EE0183">
        <w:rPr>
          <w:rFonts w:ascii="DIN Next LT Pro Light" w:hAnsi="DIN Next LT Pro Light"/>
        </w:rPr>
        <w:t>Majątek jednostki w 202</w:t>
      </w:r>
      <w:r w:rsidR="00033D48">
        <w:rPr>
          <w:rFonts w:ascii="DIN Next LT Pro Light" w:hAnsi="DIN Next LT Pro Light"/>
        </w:rPr>
        <w:t>4</w:t>
      </w:r>
      <w:r w:rsidR="00CE04C9">
        <w:rPr>
          <w:rFonts w:ascii="DIN Next LT Pro Light" w:hAnsi="DIN Next LT Pro Light"/>
        </w:rPr>
        <w:t xml:space="preserve"> </w:t>
      </w:r>
      <w:r w:rsidRPr="00EE0183">
        <w:rPr>
          <w:rFonts w:ascii="DIN Next LT Pro Light" w:hAnsi="DIN Next LT Pro Light"/>
        </w:rPr>
        <w:t xml:space="preserve">r. finansowany był w </w:t>
      </w:r>
      <w:r w:rsidR="001E3FCA">
        <w:rPr>
          <w:rFonts w:ascii="DIN Next LT Pro Light" w:hAnsi="DIN Next LT Pro Light"/>
        </w:rPr>
        <w:t>57</w:t>
      </w:r>
      <w:r w:rsidR="00543419">
        <w:rPr>
          <w:rFonts w:ascii="DIN Next LT Pro Light" w:hAnsi="DIN Next LT Pro Light"/>
        </w:rPr>
        <w:t xml:space="preserve"> </w:t>
      </w:r>
      <w:r w:rsidRPr="009C2E80">
        <w:rPr>
          <w:rFonts w:ascii="DIN Next LT Pro Light" w:hAnsi="DIN Next LT Pro Light"/>
        </w:rPr>
        <w:t>% kapitałem obcym i w</w:t>
      </w:r>
      <w:r w:rsidR="001E3FCA">
        <w:rPr>
          <w:rFonts w:ascii="DIN Next LT Pro Light" w:hAnsi="DIN Next LT Pro Light"/>
        </w:rPr>
        <w:t xml:space="preserve"> 43</w:t>
      </w:r>
      <w:r w:rsidRPr="009C2E80">
        <w:rPr>
          <w:rFonts w:ascii="DIN Next LT Pro Light" w:hAnsi="DIN Next LT Pro Light"/>
        </w:rPr>
        <w:t>% funduszem własnym</w:t>
      </w:r>
      <w:r w:rsidR="00CE04C9">
        <w:rPr>
          <w:rFonts w:ascii="DIN Next LT Pro Light" w:hAnsi="DIN Next LT Pro Light"/>
        </w:rPr>
        <w:t>.</w:t>
      </w:r>
    </w:p>
    <w:p w:rsidR="001F63AD" w:rsidRDefault="001F63AD">
      <w:pPr>
        <w:widowControl/>
        <w:suppressAutoHyphens w:val="0"/>
        <w:jc w:val="both"/>
        <w:rPr>
          <w:rFonts w:ascii="DIN Next LT Pro Light" w:hAnsi="DIN Next LT Pro Light"/>
        </w:rPr>
      </w:pPr>
    </w:p>
    <w:p w:rsidR="001F63AD" w:rsidRDefault="001F63AD" w:rsidP="00C47ECB">
      <w:pPr>
        <w:pStyle w:val="Bezodstpw"/>
        <w:spacing w:line="360" w:lineRule="auto"/>
        <w:jc w:val="both"/>
        <w:rPr>
          <w:rFonts w:ascii="DIN Next LT Pro Light" w:hAnsi="DIN Next LT Pro Light"/>
        </w:rPr>
      </w:pPr>
    </w:p>
    <w:p w:rsidR="004D0C23" w:rsidRPr="0097223C" w:rsidRDefault="00C47ECB" w:rsidP="00C47ECB">
      <w:pPr>
        <w:pStyle w:val="Bezodstpw"/>
        <w:spacing w:line="360" w:lineRule="auto"/>
        <w:jc w:val="both"/>
        <w:rPr>
          <w:rFonts w:ascii="DIN Next LT Pro Light" w:hAnsi="DIN Next LT Pro Light"/>
        </w:rPr>
      </w:pPr>
      <w:r w:rsidRPr="0097223C">
        <w:rPr>
          <w:rFonts w:ascii="DIN Next LT Pro Light" w:hAnsi="DIN Next LT Pro Light"/>
        </w:rPr>
        <w:t>Rachunek zysków i strat (zł)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404"/>
        <w:gridCol w:w="1417"/>
        <w:gridCol w:w="1134"/>
      </w:tblGrid>
      <w:tr w:rsidR="005F1AD6" w:rsidRPr="0097223C" w:rsidTr="00C63D60">
        <w:trPr>
          <w:trHeight w:val="284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F1AD6" w:rsidRPr="0097223C" w:rsidRDefault="005F1AD6" w:rsidP="005F1AD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6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F1AD6" w:rsidRPr="0097223C" w:rsidRDefault="005F1AD6" w:rsidP="005F1AD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F1AD6" w:rsidRPr="0097223C" w:rsidRDefault="007D297B" w:rsidP="009B47EC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</w:t>
            </w:r>
            <w:r w:rsidR="0094016E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7326E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F1AD6" w:rsidRPr="0097223C" w:rsidRDefault="00062265" w:rsidP="005F1AD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202</w:t>
            </w:r>
            <w:r w:rsidR="007326E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Przychody netto ze sprzedaży i zrównane z nimi, </w:t>
            </w: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BA738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91 534 218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7326EC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82 492 407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A.l</w:t>
            </w:r>
            <w:proofErr w:type="spellEnd"/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Przychody netto ze sprzedaży produktów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BA738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92 123 804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7326EC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84 109 550</w:t>
            </w:r>
          </w:p>
        </w:tc>
      </w:tr>
      <w:tr w:rsidR="0094016E" w:rsidRPr="003C2C66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A.I.1.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sprzedanych NFZ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3C2C66" w:rsidRDefault="006B261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90 755 211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3C2C66" w:rsidRDefault="007326EC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82 841 145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A.I.2.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sprzedanych Ministerstwu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6B2612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1 177 262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7326EC" w:rsidP="003C2C6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 xml:space="preserve">        877 500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A.I.3.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sprzedanych pracodawcom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4016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A.I.4.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6B261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191 331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7326EC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390 905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Zmiana stanu produktów (zwiększenie –wartość dodatnia, zmniejszenie –wartość ujemna)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713A5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-589 58</w:t>
            </w:r>
            <w:r w:rsidR="005147BB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7326EC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-1 617 142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Koszty wytworzenia produktów na własne potrzeby jednostki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713A5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 -      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A.IV.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Przychody netto ze sprzedaży towarów i materiałów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713A5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 -      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Koszty działalności operacyjnej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713A5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97 126 696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F65319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71 071 089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B.l</w:t>
            </w:r>
            <w:proofErr w:type="spellEnd"/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Amortyzacja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6B261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8 321 842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0D799C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</w:t>
            </w:r>
            <w:r w:rsidR="00082555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805 919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Zużycie materiałów i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6B261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13 258 185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082555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12 185 325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B.II.1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Materiałów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376B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13</w:t>
            </w:r>
            <w:r w:rsidR="00CE04C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258</w:t>
            </w:r>
            <w:r w:rsidR="00CE04C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10 463 353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B.II.1.a.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leków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C452B9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5</w:t>
            </w:r>
            <w:r w:rsidR="00BC6CC4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036</w:t>
            </w:r>
            <w:r w:rsidR="00BC6CC4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 xml:space="preserve"> 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3 391 877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B.II.1.b.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żywności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4016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B.II.1.c.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sprzętu jednorazowego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1E5FE0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2.581.843</w:t>
            </w:r>
            <w:r w:rsidR="00F24C1E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3C2C66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3 443 347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B.II.1.d.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odczynników chemicznych i materiałów diagnostycznych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376B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406</w:t>
            </w:r>
            <w:r w:rsidR="00CE04C9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414 314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B.II.1.e.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paliwa (gaz)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376B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2 081 214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1 633 488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B.II.1.f.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pozostałe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376B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2 196 610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1 580 327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B.II.2.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376B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955 584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1 721 972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B.II.2.a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elektrycznej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376B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955 584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1 557 020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lastRenderedPageBreak/>
              <w:t>B.II.2.b.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cieplnej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9376B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8255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164 952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Usługi obce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D0492B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22 177 747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16 970 676</w:t>
            </w:r>
          </w:p>
        </w:tc>
      </w:tr>
      <w:tr w:rsidR="0094016E" w:rsidRPr="008F3CA1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B.III.1.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remontowe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8F3CA1" w:rsidRDefault="000113AB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2 225 568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1 510 777</w:t>
            </w:r>
          </w:p>
        </w:tc>
      </w:tr>
      <w:tr w:rsidR="0094016E" w:rsidRPr="008F3CA1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B.III.2.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transportowe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8F3CA1" w:rsidRDefault="004C495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361 937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332 867</w:t>
            </w:r>
          </w:p>
        </w:tc>
      </w:tr>
      <w:tr w:rsidR="0094016E" w:rsidRPr="008F3CA1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B.III.3.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medyczne obce (umowy cywilno-prawne, prace wykonane przez laboratoria itp.)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8F3CA1" w:rsidRDefault="004C495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15 894 654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13 664 822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B.III.4.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pozostałe usługi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8F3CA1" w:rsidRDefault="004C495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3 695 588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1 462 210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B.IV.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Podatki i opłaty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D0492B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538 885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514 678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B.V.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Wynagrodzenia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D0492B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40 338 761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39 638 548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B.V.1.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wynagrodzenia ze stosunku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8F3CA1" w:rsidRDefault="004C495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42 227 687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39 547 305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B.V.2.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wynagrodzenia z umów zleceń i o dzieło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8F3CA1" w:rsidRDefault="004C495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111 073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38471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91 243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B.VI.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Ubezpieczenia społeczne i inne świadczenia,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D0492B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10 056 459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0656DC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8 684 989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55160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7 352 062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656DC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6 014 670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F65319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55160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798 007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656DC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763 634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 xml:space="preserve"> - składki na Fundusz Emerytur Pomostowych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55160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300 911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656DC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266 617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B.VII.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Pozostałe koszty rodzajowe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434 81</w:t>
            </w:r>
            <w:r w:rsidR="00A92277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0656DC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337 343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 xml:space="preserve"> - w tym podróże służbowe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551607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101 059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0656DC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102 336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B.VIII.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Wartość sprzedanych towarów i materiałów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94016E" w:rsidRPr="0097223C" w:rsidRDefault="0094016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Zysk (strata) ze sprzedaży (A–B)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- 5 592 478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DC572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-3 645 071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Pozostałe przychody operacyjne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5 943 867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DC572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5 652 185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proofErr w:type="spellStart"/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D.l</w:t>
            </w:r>
            <w:proofErr w:type="spellEnd"/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Zysk z tytułu rozchodu niefinansowych aktywów trwałych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 -      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D.II.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Dotacje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 -      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D.III. 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Aktualizacja wartości aktywów niefinansowych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97223C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 -      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D.IV. 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8F3CA1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8F3CA1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Inne przychody operacyjne,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5 864 965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DC5723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5 396 074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sz w:val="18"/>
                <w:szCs w:val="18"/>
                <w:lang w:eastAsia="pl-PL"/>
              </w:rPr>
              <w:t>- równowartość rocznych odpisów amortyzacyjnych  środków trwałych oraz wartości niematerialnych i prawnych sfinansowanych z dotacji celowych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94016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DC5723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94016E" w:rsidRPr="0097223C" w:rsidTr="00D844FA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Pozostałe koszty operacyjne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DC5723" w:rsidP="00274DFA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42 124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proofErr w:type="spellStart"/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E.l</w:t>
            </w:r>
            <w:proofErr w:type="spellEnd"/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Strata ze zbycia niefinansowych aktywów trwałych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600D32" w:rsidP="001C168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DC5723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E.II.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Aktualizacja wartości aktywów niefinansowych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600D3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7907B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         -      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E.III.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Inne koszty operacyjne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8E628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DC5723" w:rsidP="00274DFA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42 124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Zysk (strata) z działalności operacyjnej (C+D–E)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7903BC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351 19</w:t>
            </w:r>
            <w:r w:rsidR="00977BCA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DC5723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1 964 990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Przychody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7903BC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67 </w:t>
            </w:r>
            <w:r w:rsidR="00A91485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94</w:t>
            </w:r>
            <w:r w:rsidR="00977BCA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DC5723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66 930</w:t>
            </w:r>
          </w:p>
        </w:tc>
      </w:tr>
      <w:tr w:rsidR="0094016E" w:rsidRPr="00BB3EA5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proofErr w:type="spellStart"/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G.l</w:t>
            </w:r>
            <w:proofErr w:type="spellEnd"/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Dywidendy i udziały w zyskach,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94016E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                  -      </w:t>
            </w:r>
          </w:p>
        </w:tc>
      </w:tr>
      <w:tr w:rsidR="0094016E" w:rsidRPr="00BB3EA5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G.II.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Odsetki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67 94</w:t>
            </w:r>
            <w:r w:rsidR="00977BCA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DC5723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66 930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Koszty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DC5723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2 128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H.I.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Odsetki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5723" w:rsidRPr="00BB3EA5" w:rsidRDefault="00DC5723" w:rsidP="00DC5723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H.II.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Strata z tytułu rozchodu aktywów 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                 -      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H.III.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Aktualizacja wartości aktywów 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                  -      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H.IV.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 w:rsidRPr="00BB3EA5"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 xml:space="preserve"> 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16E" w:rsidRPr="00BB3EA5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16E" w:rsidRPr="00BB3EA5" w:rsidRDefault="00DC5723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Cs/>
                <w:sz w:val="18"/>
                <w:szCs w:val="18"/>
                <w:lang w:eastAsia="pl-PL"/>
              </w:rPr>
              <w:t>2 128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Zysk (strata) brutto (F+G-H)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418 380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DC5723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2 029 792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Podatek dochodowy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76 854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DC5723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75 103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Pozostałe obowiązkowe zmniejszenia zysku (zwiększenia straty)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600D32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E8582E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                -      </w:t>
            </w:r>
          </w:p>
        </w:tc>
      </w:tr>
      <w:tr w:rsidR="0094016E" w:rsidRPr="0097223C" w:rsidTr="008A51E5">
        <w:trPr>
          <w:trHeight w:val="284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L.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94016E" w:rsidP="005F1AD6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Zysk (strata) netto (I-J-K)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94016E" w:rsidRPr="0097223C" w:rsidRDefault="00A91485" w:rsidP="008F3CA1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341 526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016E" w:rsidRPr="0097223C" w:rsidRDefault="008A51E5" w:rsidP="00BB3EA5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</w:t>
            </w:r>
            <w:r w:rsidR="001F74D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 w:rsidR="00DC5723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</w:t>
            </w:r>
            <w:r w:rsidR="001F74D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</w:t>
            </w:r>
            <w:r w:rsidR="00DC5723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</w:t>
            </w:r>
            <w:r w:rsidR="001F74D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 689</w:t>
            </w:r>
          </w:p>
        </w:tc>
      </w:tr>
    </w:tbl>
    <w:p w:rsidR="003F45BD" w:rsidRPr="0097223C" w:rsidRDefault="003F45BD" w:rsidP="006E086C">
      <w:pPr>
        <w:pStyle w:val="Akapitzlist"/>
        <w:jc w:val="both"/>
        <w:rPr>
          <w:rFonts w:ascii="DIN Next LT Pro Light" w:hAnsi="DIN Next LT Pro Light" w:cs="Arial"/>
          <w:bCs/>
          <w:color w:val="548DD4" w:themeColor="text2" w:themeTint="99"/>
          <w:szCs w:val="24"/>
        </w:rPr>
      </w:pPr>
    </w:p>
    <w:p w:rsidR="003F45BD" w:rsidRPr="0097223C" w:rsidRDefault="003F45BD" w:rsidP="006E086C">
      <w:pPr>
        <w:pStyle w:val="Akapitzlist"/>
        <w:jc w:val="both"/>
        <w:rPr>
          <w:rFonts w:ascii="DIN Next LT Pro Light" w:hAnsi="DIN Next LT Pro Light" w:cs="Arial"/>
          <w:bCs/>
          <w:color w:val="548DD4" w:themeColor="text2" w:themeTint="99"/>
          <w:szCs w:val="24"/>
        </w:rPr>
      </w:pPr>
    </w:p>
    <w:p w:rsidR="000A29EC" w:rsidRPr="00F86394" w:rsidRDefault="000A29EC" w:rsidP="000A29EC">
      <w:pPr>
        <w:pStyle w:val="Bezodstpw"/>
        <w:spacing w:line="360" w:lineRule="auto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W okresie badanym osiągnięto zysk brutto w wysokości </w:t>
      </w:r>
      <w:r w:rsidR="003D1B9F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4B0A71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418 380 </w:t>
      </w: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zł, na który składają się:</w:t>
      </w:r>
    </w:p>
    <w:p w:rsidR="000A29EC" w:rsidRPr="00F86394" w:rsidRDefault="000A29EC" w:rsidP="000A29EC">
      <w:pPr>
        <w:pStyle w:val="Bezodstpw"/>
        <w:numPr>
          <w:ilvl w:val="0"/>
          <w:numId w:val="21"/>
        </w:numPr>
        <w:spacing w:line="360" w:lineRule="auto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>ujemny wynik osiągnięty na: podstawowej sprzedaży:</w:t>
      </w:r>
      <w:r w:rsidR="00FF0D7A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- </w:t>
      </w:r>
      <w:r w:rsidR="004B0A71">
        <w:rPr>
          <w:rStyle w:val="FontStyle169"/>
          <w:rFonts w:ascii="DIN Next LT Pro Light" w:hAnsi="DIN Next LT Pro Light"/>
          <w:color w:val="auto"/>
          <w:sz w:val="22"/>
          <w:szCs w:val="22"/>
        </w:rPr>
        <w:t>5 592 478</w:t>
      </w: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zł</w:t>
      </w:r>
      <w:r w:rsidR="00FF0D7A">
        <w:rPr>
          <w:rStyle w:val="FontStyle169"/>
          <w:rFonts w:ascii="DIN Next LT Pro Light" w:hAnsi="DIN Next LT Pro Light"/>
          <w:color w:val="auto"/>
          <w:sz w:val="22"/>
          <w:szCs w:val="22"/>
        </w:rPr>
        <w:t>;</w:t>
      </w: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</w:p>
    <w:p w:rsidR="000A29EC" w:rsidRPr="00F86394" w:rsidRDefault="000A29EC" w:rsidP="000A29EC">
      <w:pPr>
        <w:pStyle w:val="Bezodstpw"/>
        <w:numPr>
          <w:ilvl w:val="0"/>
          <w:numId w:val="21"/>
        </w:numPr>
        <w:spacing w:line="360" w:lineRule="auto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>wynik z pozostałej działalności operacyjnej:</w:t>
      </w:r>
      <w:r w:rsidR="004B0A71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D97562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4B0A71">
        <w:rPr>
          <w:rStyle w:val="FontStyle169"/>
          <w:rFonts w:ascii="DIN Next LT Pro Light" w:hAnsi="DIN Next LT Pro Light"/>
          <w:color w:val="auto"/>
          <w:sz w:val="22"/>
          <w:szCs w:val="22"/>
        </w:rPr>
        <w:t>351 194</w:t>
      </w: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zł</w:t>
      </w:r>
      <w:r w:rsidR="00FF0D7A">
        <w:rPr>
          <w:rStyle w:val="FontStyle169"/>
          <w:rFonts w:ascii="DIN Next LT Pro Light" w:hAnsi="DIN Next LT Pro Light"/>
          <w:color w:val="auto"/>
          <w:sz w:val="22"/>
          <w:szCs w:val="22"/>
        </w:rPr>
        <w:t>;</w:t>
      </w:r>
    </w:p>
    <w:p w:rsidR="000A29EC" w:rsidRPr="00F86394" w:rsidRDefault="000A29EC" w:rsidP="000A29EC">
      <w:pPr>
        <w:pStyle w:val="Bezodstpw"/>
        <w:numPr>
          <w:ilvl w:val="0"/>
          <w:numId w:val="21"/>
        </w:numPr>
        <w:spacing w:line="360" w:lineRule="auto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>wynik z działalności finansowej</w:t>
      </w:r>
      <w:r w:rsidR="00D97562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: </w:t>
      </w:r>
      <w:r w:rsidR="004B0A71">
        <w:rPr>
          <w:rStyle w:val="FontStyle169"/>
          <w:rFonts w:ascii="DIN Next LT Pro Light" w:hAnsi="DIN Next LT Pro Light"/>
          <w:color w:val="auto"/>
          <w:sz w:val="22"/>
          <w:szCs w:val="22"/>
        </w:rPr>
        <w:t>341 526</w:t>
      </w:r>
      <w:r w:rsidRPr="00F86394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zł.</w:t>
      </w:r>
    </w:p>
    <w:p w:rsidR="000A29EC" w:rsidRPr="00D81033" w:rsidRDefault="000A29EC" w:rsidP="000A29EC">
      <w:pPr>
        <w:pStyle w:val="Nagwek2"/>
        <w:numPr>
          <w:ilvl w:val="1"/>
          <w:numId w:val="2"/>
        </w:numPr>
        <w:spacing w:line="360" w:lineRule="auto"/>
        <w:ind w:left="567" w:hanging="567"/>
        <w:jc w:val="both"/>
        <w:rPr>
          <w:rFonts w:ascii="DIN Next LT Pro" w:hAnsi="DIN Next LT Pro" w:cs="Times New Roman"/>
          <w:color w:val="005682"/>
          <w:sz w:val="22"/>
          <w:szCs w:val="22"/>
        </w:rPr>
      </w:pPr>
      <w:bookmarkStart w:id="2" w:name="_Toc134608263"/>
      <w:r w:rsidRPr="00A17DCB">
        <w:rPr>
          <w:rFonts w:ascii="DIN Next LT Pro" w:hAnsi="DIN Next LT Pro" w:cs="Times New Roman"/>
          <w:color w:val="365F91" w:themeColor="accent1" w:themeShade="BF"/>
          <w:sz w:val="22"/>
          <w:szCs w:val="22"/>
        </w:rPr>
        <w:lastRenderedPageBreak/>
        <w:t>Analiza</w:t>
      </w:r>
      <w:r w:rsidRPr="00D81033">
        <w:rPr>
          <w:rFonts w:ascii="DIN Next LT Pro" w:hAnsi="DIN Next LT Pro" w:cs="Times New Roman"/>
          <w:color w:val="005682"/>
          <w:sz w:val="22"/>
          <w:szCs w:val="22"/>
        </w:rPr>
        <w:t xml:space="preserve"> wskaźnikowa samodzielnego publicznego zakładu opieki zdrowotnej</w:t>
      </w:r>
      <w:bookmarkEnd w:id="2"/>
    </w:p>
    <w:p w:rsidR="000A29EC" w:rsidRPr="00D81033" w:rsidRDefault="000A29EC" w:rsidP="000A29EC">
      <w:pPr>
        <w:pStyle w:val="Nagwek3"/>
        <w:numPr>
          <w:ilvl w:val="2"/>
          <w:numId w:val="2"/>
        </w:numPr>
        <w:spacing w:line="360" w:lineRule="auto"/>
        <w:ind w:left="709" w:hanging="709"/>
        <w:jc w:val="both"/>
        <w:rPr>
          <w:rFonts w:ascii="DIN Next LT Pro Light" w:hAnsi="DIN Next LT Pro Light" w:cs="Times New Roman"/>
          <w:color w:val="auto"/>
          <w:sz w:val="22"/>
          <w:szCs w:val="22"/>
        </w:rPr>
      </w:pPr>
      <w:bookmarkStart w:id="3" w:name="_Toc134608264"/>
      <w:r w:rsidRPr="00D81033">
        <w:rPr>
          <w:rFonts w:ascii="DIN Next LT Pro Light" w:hAnsi="DIN Next LT Pro Light" w:cs="Times New Roman"/>
          <w:color w:val="auto"/>
          <w:sz w:val="22"/>
          <w:szCs w:val="22"/>
        </w:rPr>
        <w:t>Wskaźniki zyskowności</w:t>
      </w:r>
      <w:bookmarkEnd w:id="3"/>
    </w:p>
    <w:p w:rsidR="000A29EC" w:rsidRPr="00294834" w:rsidRDefault="000A29EC" w:rsidP="000A29EC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</w:p>
    <w:p w:rsidR="000A29EC" w:rsidRPr="00294834" w:rsidRDefault="000A29EC" w:rsidP="000A29EC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294834">
        <w:rPr>
          <w:rFonts w:ascii="DIN Next LT Pro Light" w:hAnsi="DIN Next LT Pro Light"/>
          <w:sz w:val="22"/>
          <w:szCs w:val="22"/>
        </w:rPr>
        <w:t xml:space="preserve">Wskaźniki zyskowności określają zdolność podmiotu do generowania zysków, a zatem ekonomiczną efektywność działalności. Dodatnie wartości wskaźników informują o racjonalnym gospodarowaniu, </w:t>
      </w:r>
      <w:r w:rsidRPr="00294834">
        <w:rPr>
          <w:rFonts w:ascii="DIN Next LT Pro Light" w:hAnsi="DIN Next LT Pro Light"/>
          <w:sz w:val="22"/>
          <w:szCs w:val="22"/>
        </w:rPr>
        <w:br/>
        <w:t>gdzie przychody podmiotu przewyższają koszty.</w:t>
      </w:r>
    </w:p>
    <w:p w:rsidR="000A29EC" w:rsidRPr="00294834" w:rsidRDefault="000A29EC" w:rsidP="000A29EC">
      <w:pPr>
        <w:spacing w:before="120"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294834">
        <w:rPr>
          <w:rFonts w:ascii="DIN Next LT Pro Light" w:hAnsi="DIN Next LT Pro Light"/>
          <w:sz w:val="22"/>
          <w:szCs w:val="22"/>
        </w:rPr>
        <w:t>Wskaźnik zyskowności netto (%) pokazuje jaką część przychodów stanowi odnotowany zysk</w:t>
      </w:r>
      <w:r w:rsidR="00404C8D">
        <w:rPr>
          <w:rFonts w:ascii="DIN Next LT Pro Light" w:hAnsi="DIN Next LT Pro Light"/>
          <w:sz w:val="22"/>
          <w:szCs w:val="22"/>
        </w:rPr>
        <w:t xml:space="preserve"> </w:t>
      </w:r>
      <w:r w:rsidRPr="00294834">
        <w:rPr>
          <w:rFonts w:ascii="DIN Next LT Pro Light" w:hAnsi="DIN Next LT Pro Light"/>
          <w:sz w:val="22"/>
          <w:szCs w:val="22"/>
        </w:rPr>
        <w:t xml:space="preserve">lub strata. </w:t>
      </w:r>
      <w:r w:rsidRPr="00294834">
        <w:rPr>
          <w:rFonts w:ascii="DIN Next LT Pro Light" w:hAnsi="DIN Next LT Pro Light"/>
          <w:sz w:val="22"/>
          <w:szCs w:val="22"/>
        </w:rPr>
        <w:br/>
        <w:t>W ten sposób jest określona efektywność gospodarki finansowej w odniesieniu do</w:t>
      </w:r>
      <w:r w:rsidR="00404C8D">
        <w:rPr>
          <w:rFonts w:ascii="DIN Next LT Pro Light" w:hAnsi="DIN Next LT Pro Light"/>
          <w:sz w:val="22"/>
          <w:szCs w:val="22"/>
        </w:rPr>
        <w:t xml:space="preserve"> </w:t>
      </w:r>
      <w:r w:rsidRPr="00294834">
        <w:rPr>
          <w:rFonts w:ascii="DIN Next LT Pro Light" w:hAnsi="DIN Next LT Pro Light"/>
          <w:sz w:val="22"/>
          <w:szCs w:val="22"/>
        </w:rPr>
        <w:t>relacji przychody ogółem – koszty ogółem podmiotu.</w:t>
      </w:r>
    </w:p>
    <w:p w:rsidR="000A29EC" w:rsidRPr="00294834" w:rsidRDefault="000A29EC" w:rsidP="000A29EC">
      <w:pPr>
        <w:spacing w:before="120"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294834">
        <w:rPr>
          <w:rFonts w:ascii="DIN Next LT Pro Light" w:hAnsi="DIN Next LT Pro Light"/>
          <w:sz w:val="22"/>
          <w:szCs w:val="22"/>
        </w:rPr>
        <w:t>Wskaźnik zyskowności działalności operacyjnej (%) określa ekonomiczną efektywność działania podmiotu, z uwzględnieniem działalności podstawowej oraz pozostałej działalności operacyjnej.</w:t>
      </w:r>
    </w:p>
    <w:p w:rsidR="000A29EC" w:rsidRPr="00294834" w:rsidRDefault="000A29EC" w:rsidP="000A29EC">
      <w:pPr>
        <w:spacing w:before="120"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294834">
        <w:rPr>
          <w:rFonts w:ascii="DIN Next LT Pro Light" w:hAnsi="DIN Next LT Pro Light"/>
          <w:sz w:val="22"/>
          <w:szCs w:val="22"/>
        </w:rPr>
        <w:t>Wskaźnik zyskowności aktywów (%) informuje o wielkości zysku lub straty przypadającej na jednostkę wartości zaangażowanych w podmiocie aktywów, czyli wyznacza on ogólną zdolność aktywów podmiotu do generowania zysku.</w:t>
      </w:r>
    </w:p>
    <w:p w:rsidR="008B1042" w:rsidRDefault="008B1042" w:rsidP="006E2137">
      <w:pPr>
        <w:spacing w:before="120"/>
        <w:jc w:val="both"/>
        <w:rPr>
          <w:rFonts w:ascii="DIN Next LT Pro Light" w:hAnsi="DIN Next LT Pro Light"/>
          <w:color w:val="FF0000"/>
        </w:rPr>
      </w:pPr>
    </w:p>
    <w:tbl>
      <w:tblPr>
        <w:tblW w:w="982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40"/>
        <w:gridCol w:w="3450"/>
        <w:gridCol w:w="1843"/>
        <w:gridCol w:w="921"/>
        <w:gridCol w:w="987"/>
        <w:gridCol w:w="820"/>
      </w:tblGrid>
      <w:tr w:rsidR="00BC03D2" w:rsidRPr="00FF39BF" w:rsidTr="001F63AD">
        <w:trPr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Wskaźniki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Metoda ustalenia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Przedziały           wartości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Ocena punktowa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Wskaźnik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Ocena </w:t>
            </w:r>
          </w:p>
        </w:tc>
      </w:tr>
      <w:tr w:rsidR="00BC03D2" w:rsidRPr="00FF39BF" w:rsidTr="001F63AD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E1DE3" w:rsidRPr="00FF39BF" w:rsidTr="001F63AD">
        <w:trPr>
          <w:trHeight w:val="519"/>
        </w:trPr>
        <w:tc>
          <w:tcPr>
            <w:tcW w:w="98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EE1DE3" w:rsidRPr="00294834" w:rsidRDefault="00EE1DE3" w:rsidP="00EE1DE3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EE1DE3" w:rsidRPr="00294834" w:rsidRDefault="00EE1DE3" w:rsidP="00EE1DE3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WSKAŹNIKI ZYSKOWNOŚCI</w:t>
            </w:r>
          </w:p>
          <w:p w:rsidR="00EE1DE3" w:rsidRPr="00294834" w:rsidRDefault="00EE1DE3" w:rsidP="00EE1DE3">
            <w:pPr>
              <w:widowControl/>
              <w:suppressAutoHyphens w:val="0"/>
              <w:ind w:left="36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C03D2" w:rsidRPr="00FF39BF" w:rsidTr="001F63AD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Zyskowności  netto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wynik netto  x  100%    /                                    </w:t>
            </w:r>
            <w:r w:rsidR="00EE1DE3"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</w:t>
            </w: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przychody netto ze sprzedaży produktów                                 + przychody netto ze sprzedaży towarów                               i materiałów + pozostałe przychody</w:t>
            </w:r>
            <w:r w:rsidR="00EE1DE3"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operacyjne </w:t>
            </w: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+ przychody finansowe</w:t>
            </w:r>
            <w:r w:rsidR="00EE1DE3"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poniżej 0,0 %                                    od 0,0% do 2,0 %                                             powyżej 2,0% do 4,0%                                                                                        powyżej 4,0%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0                          3                             4                                                                    </w:t>
            </w:r>
            <w:r w:rsidRPr="00294834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3D2" w:rsidRPr="00FF0D7A" w:rsidRDefault="00D97562" w:rsidP="00216CB7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F0D7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0</w:t>
            </w:r>
            <w:r w:rsidRPr="00FF0D7A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,35%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3D2" w:rsidRPr="00294834" w:rsidRDefault="00D9756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BC03D2" w:rsidRPr="00FF39BF" w:rsidTr="001F63AD">
        <w:trPr>
          <w:trHeight w:val="10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Zyskowności działalności operacyjnej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EE1DE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wynik z dzia</w:t>
            </w:r>
            <w:r w:rsidR="00EE1DE3"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łalności operacyjnej x 100% </w:t>
            </w: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/                               </w:t>
            </w:r>
            <w:r w:rsidR="00EE1DE3"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</w:t>
            </w: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przychody netto ze sprzedaży   produktów                                           + przychody netto ze sprzedaży towarów                             i materiałów + pozostałe przychody operacyjne</w:t>
            </w:r>
            <w:r w:rsidR="00EE1DE3"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poniżej 0,0 %                                    od 0,0% do 3,0 %                                             powyżej 3,0% do 5,0%                                                                                        powyżej 5,0%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0                          3                             4                                                                    </w:t>
            </w:r>
            <w:r w:rsidRPr="00294834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D2" w:rsidRPr="00FF0D7A" w:rsidRDefault="00D97562" w:rsidP="005F75C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F0D7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0</w:t>
            </w:r>
            <w:r w:rsidRPr="00FF0D7A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,36%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3D2" w:rsidRPr="00294834" w:rsidRDefault="00D9756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BC03D2" w:rsidRPr="00FF39BF" w:rsidTr="001F63AD">
        <w:trPr>
          <w:trHeight w:val="10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Zyskowność aktywów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EE1DE3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wynik netto  x 100%  </w:t>
            </w:r>
            <w:r w:rsidR="00BC03D2"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/                                                  Średni stan aktywów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poniżej 0,0 %                                    powyżej 0,0% do 2,0 %                                             powyżej 2,0% do 4,0%                                                                                        powyżej 4,0%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29483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29483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0                          3                             4                                                                    </w:t>
            </w:r>
            <w:r w:rsidRPr="00294834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03D2" w:rsidRPr="00FF0D7A" w:rsidRDefault="00D97562" w:rsidP="0081234D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F0D7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0,28%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3D2" w:rsidRPr="00294834" w:rsidRDefault="00D9756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BC03D2" w:rsidRPr="00FF39BF" w:rsidTr="001F63AD">
        <w:trPr>
          <w:trHeight w:val="39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 w:themeFill="accent1" w:themeFillTint="66"/>
            <w:noWrap/>
            <w:vAlign w:val="center"/>
            <w:hideMark/>
          </w:tcPr>
          <w:p w:rsidR="00BC03D2" w:rsidRPr="00F8639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         RAZEM   WSKAŹNIKI   ZYSKOWNOŚCI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:rsidR="00BC03D2" w:rsidRPr="00F8639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Maksymalna ocena  pkt.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BC03D2" w:rsidRPr="00F8639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:rsidR="00BC03D2" w:rsidRPr="00F8639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Uzyskane pkt.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F86394" w:rsidRDefault="00D9756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</w:tbl>
    <w:p w:rsidR="00A96AC6" w:rsidRPr="00FF39BF" w:rsidRDefault="00A96AC6" w:rsidP="006E2137">
      <w:pPr>
        <w:spacing w:before="120"/>
        <w:jc w:val="both"/>
        <w:rPr>
          <w:rFonts w:ascii="DIN Next LT Pro Light" w:hAnsi="DIN Next LT Pro Light"/>
          <w:color w:val="FF0000"/>
        </w:rPr>
      </w:pPr>
    </w:p>
    <w:p w:rsidR="008B1042" w:rsidRPr="00294834" w:rsidRDefault="008B1042" w:rsidP="006E2137">
      <w:pPr>
        <w:spacing w:before="120"/>
        <w:jc w:val="both"/>
        <w:rPr>
          <w:rFonts w:ascii="DIN Next LT Pro Light" w:hAnsi="DIN Next LT Pro Light"/>
        </w:rPr>
      </w:pPr>
    </w:p>
    <w:p w:rsidR="001D114B" w:rsidRPr="00294834" w:rsidRDefault="001D114B" w:rsidP="001D114B">
      <w:pPr>
        <w:autoSpaceDE w:val="0"/>
        <w:autoSpaceDN w:val="0"/>
        <w:adjustRightInd w:val="0"/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294834">
        <w:rPr>
          <w:rFonts w:ascii="DIN Next LT Pro Light" w:hAnsi="DIN Next LT Pro Light"/>
          <w:sz w:val="22"/>
          <w:szCs w:val="22"/>
        </w:rPr>
        <w:t>Wskaźnik rentowności sprzedaży jest różny w zależności od branży, jednak jego podstawowym wymiarem jest wartość dodatnia.</w:t>
      </w:r>
    </w:p>
    <w:p w:rsidR="00FD7E53" w:rsidRPr="00294834" w:rsidRDefault="00FD7E53" w:rsidP="00EE1DE3">
      <w:pPr>
        <w:autoSpaceDE w:val="0"/>
        <w:autoSpaceDN w:val="0"/>
        <w:adjustRightInd w:val="0"/>
        <w:spacing w:line="360" w:lineRule="auto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 w:rsidRPr="00294834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Wskaźnik rentowności majątku świadczy o zdolności jednostki do generowania zysku. Informuje o tym, </w:t>
      </w:r>
      <w:r w:rsidR="004022DD" w:rsidRPr="00294834">
        <w:rPr>
          <w:rStyle w:val="FontStyle169"/>
          <w:rFonts w:ascii="DIN Next LT Pro Light" w:hAnsi="DIN Next LT Pro Light"/>
          <w:color w:val="auto"/>
          <w:sz w:val="22"/>
          <w:szCs w:val="22"/>
        </w:rPr>
        <w:br/>
      </w:r>
      <w:r w:rsidRPr="00294834">
        <w:rPr>
          <w:rStyle w:val="FontStyle169"/>
          <w:rFonts w:ascii="DIN Next LT Pro Light" w:hAnsi="DIN Next LT Pro Light"/>
          <w:color w:val="auto"/>
          <w:sz w:val="22"/>
          <w:szCs w:val="22"/>
        </w:rPr>
        <w:t>jak efektywnie firma zarządza swoim majątkiem. Im wyższy poziom rentowności aktywów, tym lepsza sytuacja finansowa przedsiębiorstwa.</w:t>
      </w:r>
    </w:p>
    <w:p w:rsidR="001F63AD" w:rsidRDefault="001F63AD">
      <w:pPr>
        <w:widowControl/>
        <w:suppressAutoHyphens w:val="0"/>
        <w:jc w:val="both"/>
        <w:rPr>
          <w:rStyle w:val="FontStyle169"/>
          <w:rFonts w:ascii="DIN Next LT Pro Light" w:hAnsi="DIN Next LT Pro Light"/>
          <w:color w:val="auto"/>
          <w:sz w:val="22"/>
          <w:szCs w:val="22"/>
        </w:rPr>
      </w:pP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br w:type="page"/>
      </w:r>
    </w:p>
    <w:p w:rsidR="002970C7" w:rsidRPr="00FF39BF" w:rsidRDefault="000A29EC" w:rsidP="00EE1DE3">
      <w:pPr>
        <w:autoSpaceDE w:val="0"/>
        <w:autoSpaceDN w:val="0"/>
        <w:adjustRightInd w:val="0"/>
        <w:spacing w:line="360" w:lineRule="auto"/>
        <w:jc w:val="both"/>
        <w:rPr>
          <w:rStyle w:val="FontStyle169"/>
          <w:rFonts w:ascii="DIN Next LT Pro Light" w:hAnsi="DIN Next LT Pro Light" w:cs="Times New Roman"/>
          <w:color w:val="FF0000"/>
          <w:sz w:val="22"/>
          <w:szCs w:val="22"/>
        </w:rPr>
      </w:pP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lastRenderedPageBreak/>
        <w:t>W 202</w:t>
      </w:r>
      <w:r w:rsidR="00D24323">
        <w:rPr>
          <w:rStyle w:val="FontStyle169"/>
          <w:rFonts w:ascii="DIN Next LT Pro Light" w:hAnsi="DIN Next LT Pro Light"/>
          <w:color w:val="auto"/>
          <w:sz w:val="22"/>
          <w:szCs w:val="22"/>
        </w:rPr>
        <w:t>4</w:t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r. CLO wygenerowało wszystkie trzy wskaźniki zyskowności na poziomie</w:t>
      </w:r>
      <w:r w:rsidR="00B032F7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3. Łączna uzyskana ilość punktów wyniosła </w:t>
      </w:r>
      <w:r w:rsidR="00B032F7"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</w:t>
      </w:r>
      <w:r w:rsidR="00D24323">
        <w:rPr>
          <w:rStyle w:val="FontStyle169"/>
          <w:rFonts w:ascii="DIN Next LT Pro Light" w:hAnsi="DIN Next LT Pro Light"/>
          <w:color w:val="auto"/>
          <w:sz w:val="22"/>
          <w:szCs w:val="22"/>
        </w:rPr>
        <w:t>9</w:t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 xml:space="preserve"> na 15 możliwych. Otrzymany wynik jest pozytywny, a jego relatywnie niska wartość odzwierciedla sytuacje w publicznej opiece zdrowotnej, gdzie generalnie zyski są niewielkie, </w:t>
      </w:r>
      <w:r w:rsidR="00FF0D7A">
        <w:rPr>
          <w:rStyle w:val="FontStyle169"/>
          <w:rFonts w:ascii="DIN Next LT Pro Light" w:hAnsi="DIN Next LT Pro Light"/>
          <w:color w:val="auto"/>
          <w:sz w:val="22"/>
          <w:szCs w:val="22"/>
        </w:rPr>
        <w:br/>
      </w:r>
      <w:r>
        <w:rPr>
          <w:rStyle w:val="FontStyle169"/>
          <w:rFonts w:ascii="DIN Next LT Pro Light" w:hAnsi="DIN Next LT Pro Light"/>
          <w:color w:val="auto"/>
          <w:sz w:val="22"/>
          <w:szCs w:val="22"/>
        </w:rPr>
        <w:t>co przekłada się na wartości wskaźników</w:t>
      </w:r>
    </w:p>
    <w:p w:rsidR="003F45BD" w:rsidRPr="004D1D24" w:rsidRDefault="003F45BD" w:rsidP="00965258">
      <w:pPr>
        <w:pStyle w:val="Nagwek3"/>
        <w:numPr>
          <w:ilvl w:val="2"/>
          <w:numId w:val="2"/>
        </w:numPr>
        <w:spacing w:line="360" w:lineRule="auto"/>
        <w:ind w:left="567" w:hanging="567"/>
        <w:jc w:val="both"/>
        <w:rPr>
          <w:rFonts w:ascii="DIN Next LT Pro Light" w:hAnsi="DIN Next LT Pro Light" w:cs="Times New Roman"/>
          <w:color w:val="auto"/>
          <w:sz w:val="22"/>
          <w:szCs w:val="22"/>
        </w:rPr>
      </w:pPr>
      <w:bookmarkStart w:id="4" w:name="_Toc100219126"/>
      <w:r w:rsidRPr="004D1D24">
        <w:rPr>
          <w:rFonts w:ascii="DIN Next LT Pro Light" w:hAnsi="DIN Next LT Pro Light" w:cs="Times New Roman"/>
          <w:color w:val="auto"/>
          <w:sz w:val="22"/>
          <w:szCs w:val="22"/>
        </w:rPr>
        <w:t>Wskaźniki płynności</w:t>
      </w:r>
      <w:bookmarkEnd w:id="4"/>
    </w:p>
    <w:p w:rsidR="00D81033" w:rsidRPr="004D1D24" w:rsidRDefault="00D81033" w:rsidP="00A73870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</w:p>
    <w:p w:rsidR="005565FE" w:rsidRPr="004D1D24" w:rsidRDefault="00654E7F" w:rsidP="00A73870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4D1D24">
        <w:rPr>
          <w:rFonts w:ascii="DIN Next LT Pro Light" w:hAnsi="DIN Next LT Pro Light"/>
          <w:sz w:val="22"/>
          <w:szCs w:val="22"/>
        </w:rPr>
        <w:t xml:space="preserve">Wskaźniki płynności określają zdolność podmiotu do terminowego regulowania zaciągniętych zobowiązań krótkoterminowych. Jeżeli poziom wskaźników obniża się, to występuje ryzyko utraty </w:t>
      </w:r>
      <w:r w:rsidR="00FF0D7A">
        <w:rPr>
          <w:rFonts w:ascii="DIN Next LT Pro Light" w:hAnsi="DIN Next LT Pro Light"/>
          <w:sz w:val="22"/>
          <w:szCs w:val="22"/>
        </w:rPr>
        <w:br/>
      </w:r>
      <w:r w:rsidRPr="004D1D24">
        <w:rPr>
          <w:rFonts w:ascii="DIN Next LT Pro Light" w:hAnsi="DIN Next LT Pro Light"/>
          <w:sz w:val="22"/>
          <w:szCs w:val="22"/>
        </w:rPr>
        <w:t>przez podmiot zdolności do terminowego regulowania zobowiązań. W przypadku gdy wskaźniki są zbyt wysokie,</w:t>
      </w:r>
      <w:r w:rsidR="00D81033" w:rsidRPr="004D1D24">
        <w:rPr>
          <w:rFonts w:ascii="DIN Next LT Pro Light" w:hAnsi="DIN Next LT Pro Light"/>
          <w:sz w:val="22"/>
          <w:szCs w:val="22"/>
        </w:rPr>
        <w:t xml:space="preserve"> </w:t>
      </w:r>
      <w:r w:rsidRPr="004D1D24">
        <w:rPr>
          <w:rFonts w:ascii="DIN Next LT Pro Light" w:hAnsi="DIN Next LT Pro Light"/>
          <w:sz w:val="22"/>
          <w:szCs w:val="22"/>
        </w:rPr>
        <w:t>może to świadczyć o nieefektywnym gospodarowaniu posiadanymi środkami obrotowymi, takimi jak zapasy, należności lub środki finansowe.</w:t>
      </w:r>
    </w:p>
    <w:p w:rsidR="00D81033" w:rsidRPr="00FF39BF" w:rsidRDefault="00D81033">
      <w:pPr>
        <w:widowControl/>
        <w:suppressAutoHyphens w:val="0"/>
        <w:jc w:val="both"/>
        <w:rPr>
          <w:rFonts w:ascii="DIN Next LT Pro Light" w:hAnsi="DIN Next LT Pro Light"/>
          <w:color w:val="FF0000"/>
          <w:sz w:val="22"/>
          <w:szCs w:val="22"/>
        </w:rPr>
      </w:pPr>
    </w:p>
    <w:p w:rsidR="00654E7F" w:rsidRPr="004D1D24" w:rsidRDefault="00654E7F" w:rsidP="00A73870">
      <w:pPr>
        <w:spacing w:before="120"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4D1D24">
        <w:rPr>
          <w:rFonts w:ascii="DIN Next LT Pro Light" w:hAnsi="DIN Next LT Pro Light"/>
          <w:sz w:val="22"/>
          <w:szCs w:val="22"/>
        </w:rPr>
        <w:t>Wskaźnik bieżącej płynności określa zdolność podmiotu do spłaty zobowiązań krótkoterminowych poprzez upłynnienie wszystkich środków obrotowych.</w:t>
      </w:r>
    </w:p>
    <w:p w:rsidR="00654E7F" w:rsidRDefault="00654E7F" w:rsidP="00A73870">
      <w:pPr>
        <w:spacing w:before="120"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4D1D24">
        <w:rPr>
          <w:rFonts w:ascii="DIN Next LT Pro Light" w:hAnsi="DIN Next LT Pro Light"/>
          <w:sz w:val="22"/>
          <w:szCs w:val="22"/>
        </w:rPr>
        <w:t>Wskaźnik szybkiej płynności określa zdolność podmiotu do spłacania zobowiązań krótkoterminowych najbardziej płynnymi aktywami, tj. krótkoterminowymi należnościami</w:t>
      </w:r>
      <w:r w:rsidR="00A73870" w:rsidRPr="004D1D24">
        <w:rPr>
          <w:rFonts w:ascii="DIN Next LT Pro Light" w:hAnsi="DIN Next LT Pro Light"/>
          <w:sz w:val="22"/>
          <w:szCs w:val="22"/>
        </w:rPr>
        <w:t xml:space="preserve"> </w:t>
      </w:r>
      <w:r w:rsidRPr="004D1D24">
        <w:rPr>
          <w:rFonts w:ascii="DIN Next LT Pro Light" w:hAnsi="DIN Next LT Pro Light"/>
          <w:sz w:val="22"/>
          <w:szCs w:val="22"/>
        </w:rPr>
        <w:t>i aktywami finansowymi.</w:t>
      </w:r>
    </w:p>
    <w:p w:rsidR="001F63AD" w:rsidRPr="004D1D24" w:rsidRDefault="001F63AD" w:rsidP="00A73870">
      <w:pPr>
        <w:spacing w:before="120" w:line="360" w:lineRule="auto"/>
        <w:jc w:val="both"/>
        <w:rPr>
          <w:rFonts w:ascii="DIN Next LT Pro Light" w:hAnsi="DIN Next LT Pro Light"/>
          <w:sz w:val="22"/>
          <w:szCs w:val="22"/>
        </w:rPr>
      </w:pPr>
    </w:p>
    <w:tbl>
      <w:tblPr>
        <w:tblW w:w="994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46"/>
        <w:gridCol w:w="3734"/>
        <w:gridCol w:w="1868"/>
        <w:gridCol w:w="921"/>
        <w:gridCol w:w="900"/>
        <w:gridCol w:w="820"/>
      </w:tblGrid>
      <w:tr w:rsidR="00BC03D2" w:rsidRPr="00FF39BF" w:rsidTr="00FF0D7A">
        <w:trPr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Wskaźniki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Metoda ustalenia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Przedziały           wartości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Ocena punktowa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Wskaźnik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Ocena </w:t>
            </w:r>
          </w:p>
        </w:tc>
      </w:tr>
      <w:tr w:rsidR="00BC03D2" w:rsidRPr="00FF39BF" w:rsidTr="00FF0D7A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E1DE3" w:rsidRPr="00FF39BF" w:rsidTr="00B965F0">
        <w:trPr>
          <w:trHeight w:val="315"/>
        </w:trPr>
        <w:tc>
          <w:tcPr>
            <w:tcW w:w="99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EE1DE3" w:rsidRPr="009D47BD" w:rsidRDefault="00EE1DE3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EE1DE3" w:rsidRPr="009D47BD" w:rsidRDefault="00EE1DE3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II.     WSKAŹNIKI PŁYNNOŚCI</w:t>
            </w:r>
          </w:p>
          <w:p w:rsidR="00EE1DE3" w:rsidRPr="009D47BD" w:rsidRDefault="00EE1DE3" w:rsidP="00BC03D2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BC03D2" w:rsidRPr="00FF39BF" w:rsidTr="00FF0D7A">
        <w:trPr>
          <w:trHeight w:val="21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Płynności bieżącej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9D47BD" w:rsidRDefault="001D0744" w:rsidP="000476C4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aktywa obrotowe - należności krótkoterm</w:t>
            </w:r>
            <w:r w:rsidR="000476C4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inowe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z tytułu dostaw i usług, o okresie spłaty powyżej 12 miesięcy - krótkoterminowe rozliczenia międzyokresowe (czynne)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)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/                                                                                                                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zobowiązania krótkoterminowe - zobowiązania                    z tytułu dostaw i usług, o okresie wymagalności powyżej 12  miesięcy + rezerwy na zobowiązania krótkoterminowe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poniżej 0,6                                     od 0,60 do 1,00                              powyżej 1,00 do 1,50                                             powyżej 1,5 do 3,00                                                                                        powyżej 3,00 lub jeżeli zobowiązania krótkoterminowe = 0 zł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0                          4                                                    8                             </w:t>
            </w:r>
            <w:r w:rsidRPr="009D47BD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 xml:space="preserve">12 </w:t>
            </w: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                                                                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D2" w:rsidRPr="00FF0D7A" w:rsidRDefault="0088694F" w:rsidP="002458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F0D7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</w:t>
            </w:r>
            <w:r w:rsidRPr="00FF0D7A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,</w:t>
            </w:r>
            <w:r w:rsidR="00190942" w:rsidRPr="00FF0D7A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28</w:t>
            </w:r>
            <w:r w:rsidRPr="00FF0D7A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3D2" w:rsidRPr="009D47BD" w:rsidRDefault="0088694F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</w:tr>
      <w:tr w:rsidR="00BC03D2" w:rsidRPr="00FF39BF" w:rsidTr="00FF0D7A">
        <w:trPr>
          <w:trHeight w:val="21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Płynności szybkiej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3D2" w:rsidRPr="009D47BD" w:rsidRDefault="001D0744" w:rsidP="000476C4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aktywa obrotowe - należności krótkoterminowe</w:t>
            </w:r>
            <w:r w:rsidR="000476C4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z tytułu dostaw i usług, o okresie spłaty powyżej 12 miesięcy - krótkoterminowe rozliczenia międzyokresowe (czynne) 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–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zapasy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)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   /                                        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</w:t>
            </w:r>
            <w:r w:rsidR="00BC03D2"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zobowiązania krótkoterminowe - zobowiązania z tytułu dostaw i usług, o okresie wymagalności powyżej 12 miesięcy + rezerwy na zobowiązania krótkoterminowe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poniżej 0,50                                    powyżej 0,50 do 1,00                                             powyżej 1,00 do 2,50                                                                                       powyżej 2,50 lub jeżeli zobowiązania krótkoterminowe = 0 zł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D2" w:rsidRPr="009D47BD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0                          8                             </w:t>
            </w:r>
            <w:r w:rsidRPr="009D47BD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 xml:space="preserve">13 </w:t>
            </w:r>
            <w:r w:rsidRPr="009D47B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                                                                 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D2" w:rsidRPr="009D47BD" w:rsidRDefault="0088694F" w:rsidP="002458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2,</w:t>
            </w:r>
            <w:r w:rsidR="00190942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</w:t>
            </w:r>
            <w:r w:rsidR="00190942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8</w:t>
            </w: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3D2" w:rsidRPr="009D47BD" w:rsidRDefault="0088694F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</w:t>
            </w:r>
            <w:r w:rsidR="00190942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BC03D2" w:rsidRPr="00FF39BF" w:rsidTr="00FF0D7A">
        <w:trPr>
          <w:trHeight w:val="720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8CCE4" w:themeFill="accent1" w:themeFillTint="66"/>
            <w:noWrap/>
            <w:vAlign w:val="center"/>
            <w:hideMark/>
          </w:tcPr>
          <w:p w:rsidR="00BC03D2" w:rsidRPr="00F8639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         RAZEM   WSKAŹNIKI   PŁYNNOŚCI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:rsidR="00BC03D2" w:rsidRPr="00F8639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Maksymalna ocena  pkt.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BC03D2" w:rsidRPr="00F8639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:rsidR="00BC03D2" w:rsidRPr="00F86394" w:rsidRDefault="00BC03D2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Uzyskane pkt.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BC03D2" w:rsidRPr="00F86394" w:rsidRDefault="00A767A8" w:rsidP="00BC03D2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</w:t>
            </w:r>
            <w:r w:rsidR="00190942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</w:tbl>
    <w:p w:rsidR="008B1042" w:rsidRPr="00FF39BF" w:rsidRDefault="008B1042" w:rsidP="00965258">
      <w:pPr>
        <w:pStyle w:val="Bezodstpw"/>
        <w:spacing w:line="360" w:lineRule="auto"/>
        <w:jc w:val="both"/>
        <w:rPr>
          <w:rFonts w:ascii="DIN Next LT Pro Light" w:eastAsia="Times New Roman" w:hAnsi="DIN Next LT Pro Light" w:cs="Times New Roman"/>
          <w:color w:val="FF0000"/>
        </w:rPr>
      </w:pPr>
    </w:p>
    <w:p w:rsidR="001F63AD" w:rsidRDefault="001F63AD">
      <w:pPr>
        <w:widowControl/>
        <w:suppressAutoHyphens w:val="0"/>
        <w:jc w:val="both"/>
        <w:rPr>
          <w:rFonts w:ascii="DIN Next LT Pro Light" w:eastAsia="Times New Roman" w:hAnsi="DIN Next LT Pro Light"/>
          <w:sz w:val="22"/>
          <w:szCs w:val="22"/>
          <w:lang w:eastAsia="en-US"/>
        </w:rPr>
      </w:pPr>
      <w:r>
        <w:rPr>
          <w:rFonts w:ascii="DIN Next LT Pro Light" w:eastAsia="Times New Roman" w:hAnsi="DIN Next LT Pro Light"/>
        </w:rPr>
        <w:br w:type="page"/>
      </w:r>
    </w:p>
    <w:p w:rsidR="0056364D" w:rsidRPr="00F86394" w:rsidRDefault="00965258" w:rsidP="00965258">
      <w:pPr>
        <w:pStyle w:val="Bezodstpw"/>
        <w:spacing w:line="360" w:lineRule="auto"/>
        <w:jc w:val="both"/>
        <w:rPr>
          <w:rFonts w:ascii="DIN Next LT Pro Light" w:hAnsi="DIN Next LT Pro Light"/>
        </w:rPr>
      </w:pPr>
      <w:r w:rsidRPr="00F86394">
        <w:rPr>
          <w:rFonts w:ascii="DIN Next LT Pro Light" w:eastAsia="Times New Roman" w:hAnsi="DIN Next LT Pro Light" w:cs="Times New Roman"/>
        </w:rPr>
        <w:lastRenderedPageBreak/>
        <w:t>Wskaźnik płynności bieżącej utrzymywał się na poziomie powyżej ogólnie przyjętego minimum bezpieczeństwa finansowego.</w:t>
      </w:r>
      <w:r w:rsidRPr="00F86394">
        <w:rPr>
          <w:rFonts w:ascii="DIN Next LT Pro Light" w:hAnsi="DIN Next LT Pro Light"/>
        </w:rPr>
        <w:t xml:space="preserve"> </w:t>
      </w:r>
      <w:r w:rsidR="0056364D" w:rsidRPr="00F86394">
        <w:rPr>
          <w:rFonts w:ascii="DIN Next LT Pro Light" w:hAnsi="DIN Next LT Pro Light"/>
        </w:rPr>
        <w:t xml:space="preserve">Wskaźnik płynności bieżącej informuje o zdolności jednostki </w:t>
      </w:r>
      <w:r w:rsidR="00D81033" w:rsidRPr="00F86394">
        <w:rPr>
          <w:rFonts w:ascii="DIN Next LT Pro Light" w:hAnsi="DIN Next LT Pro Light"/>
        </w:rPr>
        <w:br/>
      </w:r>
      <w:r w:rsidR="0056364D" w:rsidRPr="00F86394">
        <w:rPr>
          <w:rFonts w:ascii="DIN Next LT Pro Light" w:hAnsi="DIN Next LT Pro Light"/>
        </w:rPr>
        <w:t>do regulowania wymagalnych zobowiązań bieżących. Aktywa obrotowe</w:t>
      </w:r>
      <w:r w:rsidR="005F4599" w:rsidRPr="00F86394">
        <w:rPr>
          <w:rFonts w:ascii="DIN Next LT Pro Light" w:hAnsi="DIN Next LT Pro Light"/>
        </w:rPr>
        <w:t>,</w:t>
      </w:r>
      <w:r w:rsidR="0056364D" w:rsidRPr="00F86394">
        <w:rPr>
          <w:rFonts w:ascii="DIN Next LT Pro Light" w:hAnsi="DIN Next LT Pro Light"/>
        </w:rPr>
        <w:t xml:space="preserve"> w zależności od branży</w:t>
      </w:r>
      <w:r w:rsidR="005F4599" w:rsidRPr="00F86394">
        <w:rPr>
          <w:rFonts w:ascii="DIN Next LT Pro Light" w:hAnsi="DIN Next LT Pro Light"/>
        </w:rPr>
        <w:t>,</w:t>
      </w:r>
      <w:r w:rsidR="0056364D" w:rsidRPr="00F86394">
        <w:rPr>
          <w:rFonts w:ascii="DIN Next LT Pro Light" w:hAnsi="DIN Next LT Pro Light"/>
        </w:rPr>
        <w:t xml:space="preserve"> powinny być 1,2-2,0 raz</w:t>
      </w:r>
      <w:r w:rsidR="0010524B" w:rsidRPr="00F86394">
        <w:rPr>
          <w:rFonts w:ascii="DIN Next LT Pro Light" w:hAnsi="DIN Next LT Pro Light"/>
        </w:rPr>
        <w:t>y</w:t>
      </w:r>
      <w:r w:rsidR="0056364D" w:rsidRPr="00F86394">
        <w:rPr>
          <w:rFonts w:ascii="DIN Next LT Pro Light" w:hAnsi="DIN Next LT Pro Light"/>
        </w:rPr>
        <w:t xml:space="preserve"> większe od sumy zobowiązań bieżących przedsiębiorstwa. Wtedy jednostka ma możliwość spłacenia zobowiązań oraz zaangażowania pozostałej części aktywów obrotowych </w:t>
      </w:r>
      <w:r w:rsidR="00D81033" w:rsidRPr="00F86394">
        <w:rPr>
          <w:rFonts w:ascii="DIN Next LT Pro Light" w:hAnsi="DIN Next LT Pro Light"/>
        </w:rPr>
        <w:br/>
      </w:r>
      <w:r w:rsidR="0056364D" w:rsidRPr="00F86394">
        <w:rPr>
          <w:rFonts w:ascii="DIN Next LT Pro Light" w:hAnsi="DIN Next LT Pro Light"/>
        </w:rPr>
        <w:t>w kolejne cykle gospodarcze. Poziom wskaźnika oznacza, że po upłynnieniu zapasów, ściągnięciu należności i wykorzystując posiadaną gotówkę, jednostka może spłacić bieżące zobowiązania.</w:t>
      </w:r>
    </w:p>
    <w:p w:rsidR="0056364D" w:rsidRPr="00F86394" w:rsidRDefault="0056364D" w:rsidP="00965258">
      <w:pPr>
        <w:pStyle w:val="Bezodstpw"/>
        <w:spacing w:line="360" w:lineRule="auto"/>
        <w:jc w:val="both"/>
        <w:rPr>
          <w:rFonts w:ascii="DIN Next LT Pro Light" w:hAnsi="DIN Next LT Pro Light"/>
        </w:rPr>
      </w:pPr>
      <w:r w:rsidRPr="00F86394">
        <w:rPr>
          <w:rFonts w:ascii="DIN Next LT Pro Light" w:hAnsi="DIN Next LT Pro Light"/>
        </w:rPr>
        <w:t xml:space="preserve">Wskaźnik płynności szybkiej określa zdolność jednostki do szybkiego uregulowania bieżących zobowiązań. Relacja </w:t>
      </w:r>
      <w:r w:rsidR="006C634F" w:rsidRPr="00F86394">
        <w:rPr>
          <w:rFonts w:ascii="DIN Next LT Pro Light" w:hAnsi="DIN Next LT Pro Light"/>
        </w:rPr>
        <w:t>2,</w:t>
      </w:r>
      <w:r w:rsidR="002458F1" w:rsidRPr="00F86394">
        <w:rPr>
          <w:rFonts w:ascii="DIN Next LT Pro Light" w:hAnsi="DIN Next LT Pro Light"/>
        </w:rPr>
        <w:t>08</w:t>
      </w:r>
      <w:r w:rsidRPr="00F86394">
        <w:rPr>
          <w:rFonts w:ascii="DIN Next LT Pro Light" w:hAnsi="DIN Next LT Pro Light"/>
        </w:rPr>
        <w:t xml:space="preserve"> informuje o potencjalnej zdolności przedsiębiorstwa do pokrycia wymagalnych zobowiązań, czyli umożliwia szybką spłatę zobowiązań i świadczy o prawidłowym stanie wypłacalności jednostki.</w:t>
      </w:r>
    </w:p>
    <w:p w:rsidR="001F63AD" w:rsidRDefault="000A29EC" w:rsidP="00FF0D7A">
      <w:pPr>
        <w:widowControl/>
        <w:suppressAutoHyphens w:val="0"/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9E1C67">
        <w:rPr>
          <w:rFonts w:ascii="DIN Next LT Pro Light" w:hAnsi="DIN Next LT Pro Light"/>
          <w:sz w:val="22"/>
          <w:szCs w:val="22"/>
        </w:rPr>
        <w:t>Płynność CLO utrzymuje się niezmiennie na bardzo dobrym poziomie. Uzyskano 2</w:t>
      </w:r>
      <w:r w:rsidR="003A5908">
        <w:rPr>
          <w:rFonts w:ascii="DIN Next LT Pro Light" w:hAnsi="DIN Next LT Pro Light"/>
          <w:sz w:val="22"/>
          <w:szCs w:val="22"/>
        </w:rPr>
        <w:t>5</w:t>
      </w:r>
      <w:r w:rsidRPr="009E1C67">
        <w:rPr>
          <w:rFonts w:ascii="DIN Next LT Pro Light" w:hAnsi="DIN Next LT Pro Light"/>
          <w:sz w:val="22"/>
          <w:szCs w:val="22"/>
        </w:rPr>
        <w:t xml:space="preserve"> punktów </w:t>
      </w:r>
      <w:r w:rsidR="001F63AD">
        <w:rPr>
          <w:rFonts w:ascii="DIN Next LT Pro Light" w:hAnsi="DIN Next LT Pro Light"/>
          <w:sz w:val="22"/>
          <w:szCs w:val="22"/>
        </w:rPr>
        <w:br/>
      </w:r>
      <w:r w:rsidRPr="009E1C67">
        <w:rPr>
          <w:rFonts w:ascii="DIN Next LT Pro Light" w:hAnsi="DIN Next LT Pro Light"/>
          <w:sz w:val="22"/>
          <w:szCs w:val="22"/>
        </w:rPr>
        <w:t>na 25  możliwych. Wskaźnik płynności szybkiej</w:t>
      </w:r>
      <w:r w:rsidR="003A5908">
        <w:rPr>
          <w:rFonts w:ascii="DIN Next LT Pro Light" w:hAnsi="DIN Next LT Pro Light"/>
          <w:sz w:val="22"/>
          <w:szCs w:val="22"/>
        </w:rPr>
        <w:t xml:space="preserve"> i bieżącej</w:t>
      </w:r>
      <w:r w:rsidRPr="009E1C67">
        <w:rPr>
          <w:rFonts w:ascii="DIN Next LT Pro Light" w:hAnsi="DIN Next LT Pro Light"/>
          <w:sz w:val="22"/>
          <w:szCs w:val="22"/>
        </w:rPr>
        <w:t xml:space="preserve"> jest na poziomie dającym najwyższą punktację.</w:t>
      </w:r>
    </w:p>
    <w:p w:rsidR="001F63AD" w:rsidRDefault="001F63AD" w:rsidP="00FF0D7A">
      <w:pPr>
        <w:widowControl/>
        <w:suppressAutoHyphens w:val="0"/>
        <w:spacing w:line="360" w:lineRule="auto"/>
        <w:jc w:val="both"/>
        <w:rPr>
          <w:rFonts w:ascii="DIN Next LT Pro Light" w:hAnsi="DIN Next LT Pro Light"/>
          <w:b/>
          <w:color w:val="FF0000"/>
          <w:sz w:val="22"/>
          <w:szCs w:val="22"/>
          <w:u w:val="single"/>
        </w:rPr>
      </w:pPr>
    </w:p>
    <w:p w:rsidR="003F45BD" w:rsidRPr="00D81033" w:rsidRDefault="003F45BD" w:rsidP="00965258">
      <w:pPr>
        <w:pStyle w:val="Nagwek3"/>
        <w:numPr>
          <w:ilvl w:val="2"/>
          <w:numId w:val="2"/>
        </w:numPr>
        <w:spacing w:line="360" w:lineRule="auto"/>
        <w:ind w:left="567" w:hanging="567"/>
        <w:jc w:val="both"/>
        <w:rPr>
          <w:rFonts w:ascii="DIN Next LT Pro Light" w:hAnsi="DIN Next LT Pro Light" w:cs="Times New Roman"/>
          <w:color w:val="auto"/>
          <w:sz w:val="22"/>
          <w:szCs w:val="22"/>
        </w:rPr>
      </w:pPr>
      <w:bookmarkStart w:id="5" w:name="_Toc100219127"/>
      <w:r w:rsidRPr="00D81033">
        <w:rPr>
          <w:rFonts w:ascii="DIN Next LT Pro Light" w:hAnsi="DIN Next LT Pro Light" w:cs="Times New Roman"/>
          <w:color w:val="auto"/>
          <w:sz w:val="22"/>
          <w:szCs w:val="22"/>
        </w:rPr>
        <w:t>Wskaźniki efektywności</w:t>
      </w:r>
      <w:bookmarkEnd w:id="5"/>
    </w:p>
    <w:p w:rsidR="00275BD7" w:rsidRPr="0097223C" w:rsidRDefault="00275BD7" w:rsidP="00A73870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</w:p>
    <w:p w:rsidR="00275BD7" w:rsidRPr="00F86394" w:rsidRDefault="00275BD7" w:rsidP="00A73870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F86394">
        <w:rPr>
          <w:rFonts w:ascii="DIN Next LT Pro Light" w:hAnsi="DIN Next LT Pro Light"/>
          <w:sz w:val="22"/>
          <w:szCs w:val="22"/>
        </w:rPr>
        <w:t>Wskaźnik rotacji należności (w dniach) określa długość cyklu oczekiwania podmio</w:t>
      </w:r>
      <w:r w:rsidR="00A73870" w:rsidRPr="00F86394">
        <w:rPr>
          <w:rFonts w:ascii="DIN Next LT Pro Light" w:hAnsi="DIN Next LT Pro Light"/>
          <w:sz w:val="22"/>
          <w:szCs w:val="22"/>
        </w:rPr>
        <w:t xml:space="preserve">tu na </w:t>
      </w:r>
      <w:r w:rsidRPr="00F86394">
        <w:rPr>
          <w:rFonts w:ascii="DIN Next LT Pro Light" w:hAnsi="DIN Next LT Pro Light"/>
          <w:sz w:val="22"/>
          <w:szCs w:val="22"/>
        </w:rPr>
        <w:t xml:space="preserve">uzyskanie należności za świadczone usługi. Im wyższy poziom wskaźnika, tym podmiot ma większe trudności </w:t>
      </w:r>
      <w:r w:rsidR="00A73870" w:rsidRPr="00F86394">
        <w:rPr>
          <w:rFonts w:ascii="DIN Next LT Pro Light" w:hAnsi="DIN Next LT Pro Light"/>
          <w:sz w:val="22"/>
          <w:szCs w:val="22"/>
        </w:rPr>
        <w:br/>
      </w:r>
      <w:r w:rsidRPr="00F86394">
        <w:rPr>
          <w:rFonts w:ascii="DIN Next LT Pro Light" w:hAnsi="DIN Next LT Pro Light"/>
          <w:sz w:val="22"/>
          <w:szCs w:val="22"/>
        </w:rPr>
        <w:t>ze ściągalnością swoich należności, co może obniżyć zdolność do terminowego regulowania zobowiązań.</w:t>
      </w:r>
    </w:p>
    <w:p w:rsidR="00275BD7" w:rsidRPr="00F86394" w:rsidRDefault="00275BD7" w:rsidP="00A73870">
      <w:pPr>
        <w:spacing w:before="120"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F86394">
        <w:rPr>
          <w:rFonts w:ascii="DIN Next LT Pro Light" w:hAnsi="DIN Next LT Pro Light"/>
          <w:sz w:val="22"/>
          <w:szCs w:val="22"/>
        </w:rPr>
        <w:t>Wskaźnik rotacji zobowiązań (w dniach) określa okres, jaki jest potrzebny pod</w:t>
      </w:r>
      <w:r w:rsidR="00A73870" w:rsidRPr="00F86394">
        <w:rPr>
          <w:rFonts w:ascii="DIN Next LT Pro Light" w:hAnsi="DIN Next LT Pro Light"/>
          <w:sz w:val="22"/>
          <w:szCs w:val="22"/>
        </w:rPr>
        <w:t xml:space="preserve">miotowi  </w:t>
      </w:r>
      <w:r w:rsidRPr="00F86394">
        <w:rPr>
          <w:rFonts w:ascii="DIN Next LT Pro Light" w:hAnsi="DIN Next LT Pro Light"/>
          <w:sz w:val="22"/>
          <w:szCs w:val="22"/>
        </w:rPr>
        <w:t xml:space="preserve">do spłacenia swoich zobowiązań krótkoterminowych. Zbyt wysoka wartość wskaźnika może świadczyć </w:t>
      </w:r>
      <w:r w:rsidR="00D81033" w:rsidRPr="00F86394">
        <w:rPr>
          <w:rFonts w:ascii="DIN Next LT Pro Light" w:hAnsi="DIN Next LT Pro Light"/>
          <w:sz w:val="22"/>
          <w:szCs w:val="22"/>
        </w:rPr>
        <w:br/>
      </w:r>
      <w:r w:rsidRPr="00F86394">
        <w:rPr>
          <w:rFonts w:ascii="DIN Next LT Pro Light" w:hAnsi="DIN Next LT Pro Light"/>
          <w:sz w:val="22"/>
          <w:szCs w:val="22"/>
        </w:rPr>
        <w:t>o trudnościach podmiotu w regulowaniu swoich bieżących zobowiązań.</w:t>
      </w:r>
    </w:p>
    <w:p w:rsidR="001D0744" w:rsidRPr="00FF39BF" w:rsidRDefault="001D0744" w:rsidP="006857E2">
      <w:pPr>
        <w:spacing w:before="120"/>
        <w:jc w:val="both"/>
        <w:rPr>
          <w:rFonts w:ascii="DIN Next LT Pro Light" w:hAnsi="DIN Next LT Pro Light"/>
          <w:color w:val="FF0000"/>
        </w:rPr>
      </w:pP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113"/>
        <w:gridCol w:w="3600"/>
        <w:gridCol w:w="1920"/>
        <w:gridCol w:w="921"/>
        <w:gridCol w:w="900"/>
        <w:gridCol w:w="649"/>
      </w:tblGrid>
      <w:tr w:rsidR="007421C0" w:rsidRPr="00FF39BF" w:rsidTr="00EE1DE3">
        <w:trPr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Metoda ustalenia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Przedziały           wartości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Ocena punktowa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Wskaźnik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Ocena </w:t>
            </w:r>
          </w:p>
        </w:tc>
      </w:tr>
      <w:tr w:rsidR="007421C0" w:rsidRPr="00FF39BF" w:rsidTr="00EE1DE3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F39BF" w:rsidRDefault="007421C0" w:rsidP="007421C0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F39BF" w:rsidRDefault="007421C0" w:rsidP="007421C0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F39BF" w:rsidRDefault="007421C0" w:rsidP="007421C0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7421C0" w:rsidRPr="00FF39BF" w:rsidTr="00EE1DE3">
        <w:trPr>
          <w:trHeight w:val="375"/>
        </w:trPr>
        <w:tc>
          <w:tcPr>
            <w:tcW w:w="951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EE1DE3" w:rsidRPr="00F86394" w:rsidRDefault="00EE1DE3" w:rsidP="007421C0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  <w:p w:rsidR="007421C0" w:rsidRPr="00F86394" w:rsidRDefault="007421C0" w:rsidP="00EE1DE3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WSKAŹNIKI EFEKTYWNOŚCI</w:t>
            </w:r>
          </w:p>
          <w:p w:rsidR="00EE1DE3" w:rsidRPr="00F86394" w:rsidRDefault="00EE1DE3" w:rsidP="00EE1DE3">
            <w:pPr>
              <w:pStyle w:val="Akapitzlist"/>
              <w:widowControl/>
              <w:suppressAutoHyphens w:val="0"/>
              <w:ind w:left="108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12919" w:rsidRPr="00F12919" w:rsidTr="00404C8D">
        <w:trPr>
          <w:trHeight w:val="14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C0" w:rsidRPr="00F12919" w:rsidRDefault="007421C0" w:rsidP="00A7655E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12919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C0" w:rsidRPr="00F12919" w:rsidRDefault="007421C0" w:rsidP="00A7655E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12919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Rotacji należności                             (w dniach)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C0" w:rsidRPr="00F12919" w:rsidRDefault="007421C0" w:rsidP="006C634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12919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(średni stan należnośc</w:t>
            </w:r>
            <w:r w:rsidR="006C634F" w:rsidRPr="00F12919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i z tytułu dostaw i usług</w:t>
            </w:r>
            <w:r w:rsidRPr="00F12919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x liczba dni  w okresie (365))  /                                         (przychody netto ze sprzedaży produktów                                      + przychody netto ze sprzedaży towarów                                  i materiałów)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C0" w:rsidRPr="00F12919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12919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poniżej 45 dni                                   od 45 dni do 60 dni                                             od 61 dni do 90 dni                                                                                       powyżej 90 dni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C0" w:rsidRPr="00F12919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12919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 xml:space="preserve">3 </w:t>
            </w:r>
            <w:r w:rsidRPr="00F12919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                        2                             1                                                                    0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0" w:rsidRPr="00F12919" w:rsidRDefault="003A5908" w:rsidP="00216CB7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1C0" w:rsidRPr="00F12919" w:rsidRDefault="0088694F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7421C0" w:rsidRPr="00FF39BF" w:rsidTr="00404C8D">
        <w:trPr>
          <w:trHeight w:val="12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1C0" w:rsidRPr="00A71E9A" w:rsidRDefault="007421C0" w:rsidP="00A7655E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C0" w:rsidRPr="00A71E9A" w:rsidRDefault="007421C0" w:rsidP="00A7655E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Rotacji zobowiązań (w dniach)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C0" w:rsidRPr="00A71E9A" w:rsidRDefault="007421C0" w:rsidP="006C634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(średni stan zobowi</w:t>
            </w:r>
            <w:r w:rsidR="006C634F"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ązań z tytułu dostaw i usług</w:t>
            </w: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x liczba dni w okresie (365))  /                                           (przychody netto ze sprzedaży produktów                                 + przychody netto ze sprzedaży towarów                                 i materiałów)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C0" w:rsidRPr="00A71E9A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do 60 dni                                   od 61 dni do 90 dni                                                    powyżej 90 dni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C0" w:rsidRPr="00A71E9A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 xml:space="preserve">7 </w:t>
            </w: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                                                                  4                                  0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C0" w:rsidRPr="00A71E9A" w:rsidRDefault="003A5908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1C0" w:rsidRPr="00A71E9A" w:rsidRDefault="0088694F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7421C0" w:rsidRPr="00FF39BF" w:rsidTr="00EE1DE3">
        <w:trPr>
          <w:trHeight w:val="390"/>
        </w:trPr>
        <w:tc>
          <w:tcPr>
            <w:tcW w:w="5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8CCE4" w:themeFill="accent1" w:themeFillTint="66"/>
            <w:noWrap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         RAZEM   WSKAŹNIKI  EFEKTYWNOŚCI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Maksymalna ocena  pkt.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7421C0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F86394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Uzyskane pkt.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7421C0" w:rsidRPr="00F86394" w:rsidRDefault="00A767A8" w:rsidP="007421C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</w:tbl>
    <w:p w:rsidR="001D0744" w:rsidRPr="00FF39BF" w:rsidRDefault="001D0744" w:rsidP="006857E2">
      <w:pPr>
        <w:spacing w:before="120"/>
        <w:jc w:val="both"/>
        <w:rPr>
          <w:rFonts w:ascii="DIN Next LT Pro Light" w:hAnsi="DIN Next LT Pro Light"/>
          <w:color w:val="FF0000"/>
        </w:rPr>
      </w:pPr>
    </w:p>
    <w:p w:rsidR="007D4B0E" w:rsidRPr="004D1D24" w:rsidRDefault="007D4B0E" w:rsidP="007D4B0E">
      <w:pPr>
        <w:pStyle w:val="Bezodstpw"/>
        <w:spacing w:line="360" w:lineRule="auto"/>
        <w:jc w:val="both"/>
        <w:rPr>
          <w:rFonts w:ascii="DIN Next LT Pro Light" w:hAnsi="DIN Next LT Pro Light"/>
        </w:rPr>
      </w:pPr>
      <w:r w:rsidRPr="004D1D24">
        <w:rPr>
          <w:rFonts w:ascii="DIN Next LT Pro Light" w:hAnsi="DIN Next LT Pro Light"/>
        </w:rPr>
        <w:lastRenderedPageBreak/>
        <w:t xml:space="preserve">Prawidłowa ocena wskaźnika rotacji należności wymaga zawsze dodatkowej analizy struktury należności, w tym ich podmiotowego charakteru. Wskaźnik rotacji należności należy porównywać </w:t>
      </w:r>
      <w:r w:rsidR="00D81033" w:rsidRPr="004D1D24">
        <w:rPr>
          <w:rFonts w:ascii="DIN Next LT Pro Light" w:hAnsi="DIN Next LT Pro Light"/>
        </w:rPr>
        <w:br/>
      </w:r>
      <w:r w:rsidRPr="004D1D24">
        <w:rPr>
          <w:rFonts w:ascii="DIN Next LT Pro Light" w:hAnsi="DIN Next LT Pro Light"/>
        </w:rPr>
        <w:t>z wartościami uzyskiwanymi przez inne szpitale.</w:t>
      </w:r>
    </w:p>
    <w:p w:rsidR="007D4B0E" w:rsidRPr="004D1D24" w:rsidRDefault="007D4B0E" w:rsidP="007D4B0E">
      <w:pPr>
        <w:pStyle w:val="Bezodstpw"/>
        <w:spacing w:line="360" w:lineRule="auto"/>
        <w:jc w:val="both"/>
        <w:rPr>
          <w:rFonts w:ascii="DIN Next LT Pro Light" w:hAnsi="DIN Next LT Pro Light"/>
        </w:rPr>
      </w:pPr>
      <w:r w:rsidRPr="004D1D24">
        <w:rPr>
          <w:rFonts w:ascii="DIN Next LT Pro Light" w:hAnsi="DIN Next LT Pro Light"/>
        </w:rPr>
        <w:t xml:space="preserve">W przypadku szpitali, odbiorcą ich usług jest w przeważającej części ludność, natomiast płatnikiem – przede wszystkim NFZ. Wskaźnik ten ocenia oprócz sytuacji płynnościowej jakość współpracy z NFZ. Utrzymujący się przez dłuższy okres wysoki poziom tego wskaźnika zagraża bezpieczeństwu finansowemu szpitala. Sytuacja taka powinna być wyraźnym sygnałem dla płatnika dla </w:t>
      </w:r>
      <w:r w:rsidR="00D81033" w:rsidRPr="004D1D24">
        <w:rPr>
          <w:rFonts w:ascii="DIN Next LT Pro Light" w:hAnsi="DIN Next LT Pro Light"/>
        </w:rPr>
        <w:t xml:space="preserve">przyspieszenia cyklu rozliczeń </w:t>
      </w:r>
      <w:r w:rsidRPr="004D1D24">
        <w:rPr>
          <w:rFonts w:ascii="DIN Next LT Pro Light" w:hAnsi="DIN Next LT Pro Light"/>
        </w:rPr>
        <w:t>ze szpitalem.</w:t>
      </w:r>
    </w:p>
    <w:p w:rsidR="007D4B0E" w:rsidRPr="004D1D24" w:rsidRDefault="005B38C9" w:rsidP="007D4B0E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  <w:r w:rsidRPr="004D1D24">
        <w:rPr>
          <w:rFonts w:ascii="DIN Next LT Pro Light" w:hAnsi="DIN Next LT Pro Light" w:cs="Arial"/>
          <w:sz w:val="22"/>
          <w:szCs w:val="22"/>
        </w:rPr>
        <w:t xml:space="preserve"> </w:t>
      </w:r>
      <w:r w:rsidR="0064463E" w:rsidRPr="004D1D24">
        <w:rPr>
          <w:rFonts w:ascii="DIN Next LT Pro Light" w:hAnsi="DIN Next LT Pro Light" w:cs="Arial"/>
          <w:sz w:val="22"/>
          <w:szCs w:val="22"/>
        </w:rPr>
        <w:t>J</w:t>
      </w:r>
      <w:r w:rsidRPr="004D1D24">
        <w:rPr>
          <w:rFonts w:ascii="DIN Next LT Pro Light" w:hAnsi="DIN Next LT Pro Light" w:cs="Arial"/>
          <w:sz w:val="22"/>
          <w:szCs w:val="22"/>
        </w:rPr>
        <w:t>ednym</w:t>
      </w:r>
      <w:r w:rsidR="007D4B0E" w:rsidRPr="004D1D24">
        <w:rPr>
          <w:rFonts w:ascii="DIN Next LT Pro Light" w:hAnsi="DIN Next LT Pro Light" w:cs="Arial"/>
          <w:sz w:val="22"/>
          <w:szCs w:val="22"/>
        </w:rPr>
        <w:t xml:space="preserve"> z podstawowych wskaźników oceny sytuacji finansowej szpitali</w:t>
      </w:r>
      <w:r w:rsidR="0064463E" w:rsidRPr="004D1D24">
        <w:rPr>
          <w:rFonts w:ascii="DIN Next LT Pro Light" w:hAnsi="DIN Next LT Pro Light" w:cs="Arial"/>
          <w:sz w:val="22"/>
          <w:szCs w:val="22"/>
        </w:rPr>
        <w:t xml:space="preserve"> jest wskaźnik rotacji zobowiązań</w:t>
      </w:r>
      <w:r w:rsidR="007D4B0E" w:rsidRPr="004D1D24">
        <w:rPr>
          <w:rFonts w:ascii="DIN Next LT Pro Light" w:hAnsi="DIN Next LT Pro Light" w:cs="Arial"/>
          <w:sz w:val="22"/>
          <w:szCs w:val="22"/>
        </w:rPr>
        <w:t xml:space="preserve">. Dla utrzymania prawidłowych relacji z kontrahentami, wielkość wskaźnika </w:t>
      </w:r>
      <w:r w:rsidR="0064463E" w:rsidRPr="004D1D24">
        <w:rPr>
          <w:rFonts w:ascii="DIN Next LT Pro Light" w:hAnsi="DIN Next LT Pro Light" w:cs="Arial"/>
          <w:sz w:val="22"/>
          <w:szCs w:val="22"/>
        </w:rPr>
        <w:t>p</w:t>
      </w:r>
      <w:r w:rsidR="007D4B0E" w:rsidRPr="004D1D24">
        <w:rPr>
          <w:rFonts w:ascii="DIN Next LT Pro Light" w:hAnsi="DIN Next LT Pro Light" w:cs="Arial"/>
          <w:sz w:val="22"/>
          <w:szCs w:val="22"/>
        </w:rPr>
        <w:t xml:space="preserve">owinna kształtować się na poziomie terminów płatności charakterystycznych dla sektora ochrony zdrowia. Utrzymująca się przez dłuższy okres wartość wskaźnika powyżej 60 dni wskazuje na problemy </w:t>
      </w:r>
      <w:r w:rsidR="00D81033" w:rsidRPr="004D1D24">
        <w:rPr>
          <w:rFonts w:ascii="DIN Next LT Pro Light" w:hAnsi="DIN Next LT Pro Light" w:cs="Arial"/>
          <w:sz w:val="22"/>
          <w:szCs w:val="22"/>
        </w:rPr>
        <w:br/>
      </w:r>
      <w:r w:rsidR="007D4B0E" w:rsidRPr="004D1D24">
        <w:rPr>
          <w:rFonts w:ascii="DIN Next LT Pro Light" w:hAnsi="DIN Next LT Pro Light" w:cs="Arial"/>
          <w:sz w:val="22"/>
          <w:szCs w:val="22"/>
        </w:rPr>
        <w:t xml:space="preserve">z regulowaniem zobowiązań, co może zapowiadać konieczność naliczania przez kontrahentów odsetek ustawowych, a w następnej kolejności skierowanie spraw na drogę postępowania sądowego. </w:t>
      </w:r>
      <w:r w:rsidR="00D81033" w:rsidRPr="004D1D24">
        <w:rPr>
          <w:rFonts w:ascii="DIN Next LT Pro Light" w:hAnsi="DIN Next LT Pro Light" w:cs="Arial"/>
          <w:sz w:val="22"/>
          <w:szCs w:val="22"/>
        </w:rPr>
        <w:br/>
      </w:r>
      <w:r w:rsidR="007D4B0E" w:rsidRPr="004D1D24">
        <w:rPr>
          <w:rFonts w:ascii="DIN Next LT Pro Light" w:hAnsi="DIN Next LT Pro Light" w:cs="Arial"/>
          <w:sz w:val="22"/>
          <w:szCs w:val="22"/>
        </w:rPr>
        <w:t>Jako graniczną przyjmuje się wartość 90 dni.</w:t>
      </w:r>
    </w:p>
    <w:p w:rsidR="000333F6" w:rsidRDefault="007D4B0E" w:rsidP="00EE1DE3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  <w:r w:rsidRPr="004D1D24">
        <w:rPr>
          <w:rFonts w:ascii="DIN Next LT Pro Light" w:hAnsi="DIN Next LT Pro Light" w:cs="Arial"/>
          <w:sz w:val="22"/>
          <w:szCs w:val="22"/>
        </w:rPr>
        <w:t xml:space="preserve">Za modelową relację uznaje się, gdy wskaźnik rotacji zobowiązań z tytułu dostaw i usług równy </w:t>
      </w:r>
      <w:r w:rsidR="00B3441C" w:rsidRPr="004D1D24">
        <w:rPr>
          <w:rFonts w:ascii="DIN Next LT Pro Light" w:hAnsi="DIN Next LT Pro Light" w:cs="Arial"/>
          <w:sz w:val="22"/>
          <w:szCs w:val="22"/>
        </w:rPr>
        <w:br/>
      </w:r>
      <w:r w:rsidRPr="004D1D24">
        <w:rPr>
          <w:rFonts w:ascii="DIN Next LT Pro Light" w:hAnsi="DIN Next LT Pro Light" w:cs="Arial"/>
          <w:sz w:val="22"/>
          <w:szCs w:val="22"/>
        </w:rPr>
        <w:t>jest wskaźnikowi rotacji należności. Przy analizie tego wskaźnika należy wziąć pod uwagę strukturę czasową i podmiotową zobowiązań.</w:t>
      </w:r>
    </w:p>
    <w:p w:rsidR="000A29EC" w:rsidRDefault="000A29EC" w:rsidP="00EE1DE3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  <w:r>
        <w:rPr>
          <w:rFonts w:ascii="DIN Next LT Pro Light" w:hAnsi="DIN Next LT Pro Light" w:cs="Arial"/>
          <w:sz w:val="22"/>
          <w:szCs w:val="22"/>
        </w:rPr>
        <w:t>Wskaźniki efektywności w CLO utrzymują się na najwyższym możliwym poziomie. Uzyskano 10 punktów na 10 możliwych</w:t>
      </w:r>
      <w:r w:rsidR="001F63AD">
        <w:rPr>
          <w:rFonts w:ascii="DIN Next LT Pro Light" w:hAnsi="DIN Next LT Pro Light" w:cs="Arial"/>
          <w:sz w:val="22"/>
          <w:szCs w:val="22"/>
        </w:rPr>
        <w:t>.</w:t>
      </w:r>
    </w:p>
    <w:p w:rsidR="001F63AD" w:rsidRPr="004D1D24" w:rsidRDefault="001F63AD" w:rsidP="00EE1DE3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</w:p>
    <w:p w:rsidR="003F45BD" w:rsidRPr="00A71E9A" w:rsidRDefault="003F45BD" w:rsidP="007D4B0E">
      <w:pPr>
        <w:pStyle w:val="Nagwek3"/>
        <w:numPr>
          <w:ilvl w:val="2"/>
          <w:numId w:val="2"/>
        </w:numPr>
        <w:spacing w:line="360" w:lineRule="auto"/>
        <w:ind w:left="709" w:hanging="709"/>
        <w:jc w:val="both"/>
        <w:rPr>
          <w:rFonts w:ascii="DIN Next LT Pro Light" w:hAnsi="DIN Next LT Pro Light" w:cs="Times New Roman"/>
          <w:color w:val="auto"/>
          <w:sz w:val="22"/>
          <w:szCs w:val="22"/>
        </w:rPr>
      </w:pPr>
      <w:bookmarkStart w:id="6" w:name="_Toc100219128"/>
      <w:r w:rsidRPr="00A71E9A">
        <w:rPr>
          <w:rFonts w:ascii="DIN Next LT Pro Light" w:hAnsi="DIN Next LT Pro Light" w:cs="Times New Roman"/>
          <w:color w:val="auto"/>
          <w:sz w:val="22"/>
          <w:szCs w:val="22"/>
        </w:rPr>
        <w:t>Wskaźniki zadłużenia</w:t>
      </w:r>
      <w:bookmarkEnd w:id="6"/>
    </w:p>
    <w:p w:rsidR="00DA4FDA" w:rsidRPr="00A71E9A" w:rsidRDefault="00DA4FDA" w:rsidP="007D4B0E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</w:p>
    <w:p w:rsidR="006857E2" w:rsidRPr="00A71E9A" w:rsidRDefault="006857E2" w:rsidP="007D4B0E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A71E9A">
        <w:rPr>
          <w:rFonts w:ascii="DIN Next LT Pro Light" w:hAnsi="DIN Next LT Pro Light"/>
          <w:sz w:val="22"/>
          <w:szCs w:val="22"/>
        </w:rPr>
        <w:t xml:space="preserve">Wskaźnik zadłużenia aktywów (%) informuje o stopniu finansowania aktywów kapitałami obcymi. </w:t>
      </w:r>
      <w:r w:rsidR="007D4B0E" w:rsidRPr="00A71E9A">
        <w:rPr>
          <w:rFonts w:ascii="DIN Next LT Pro Light" w:hAnsi="DIN Next LT Pro Light"/>
          <w:sz w:val="22"/>
          <w:szCs w:val="22"/>
        </w:rPr>
        <w:t xml:space="preserve">                        </w:t>
      </w:r>
      <w:r w:rsidRPr="00A71E9A">
        <w:rPr>
          <w:rFonts w:ascii="DIN Next LT Pro Light" w:hAnsi="DIN Next LT Pro Light"/>
          <w:sz w:val="22"/>
          <w:szCs w:val="22"/>
        </w:rPr>
        <w:t>Zbyt wysoka wartość wskaźnika podważa wiarygodność finansową podmiotu.</w:t>
      </w:r>
    </w:p>
    <w:p w:rsidR="001F63AD" w:rsidRDefault="006857E2" w:rsidP="007D4B0E">
      <w:pPr>
        <w:spacing w:before="120"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A71E9A">
        <w:rPr>
          <w:rFonts w:ascii="DIN Next LT Pro Light" w:hAnsi="DIN Next LT Pro Light"/>
          <w:sz w:val="22"/>
          <w:szCs w:val="22"/>
        </w:rPr>
        <w:t>Wskaźnik wypłacalności określa wielkość funduszy obcych przypadającą na jednostkę funduszu własnego. Wysoka wartość wskaźnika wskazuje na możliwość utraty zdolności do regulowania przez podmiot zobowiązań.</w:t>
      </w:r>
    </w:p>
    <w:p w:rsidR="001F63AD" w:rsidRDefault="001F63AD">
      <w:pPr>
        <w:widowControl/>
        <w:suppressAutoHyphens w:val="0"/>
        <w:jc w:val="both"/>
        <w:rPr>
          <w:rFonts w:ascii="DIN Next LT Pro Light" w:hAnsi="DIN Next LT Pro Light"/>
          <w:sz w:val="22"/>
          <w:szCs w:val="22"/>
        </w:rPr>
      </w:pPr>
      <w:r>
        <w:rPr>
          <w:rFonts w:ascii="DIN Next LT Pro Light" w:hAnsi="DIN Next LT Pro Light"/>
          <w:sz w:val="22"/>
          <w:szCs w:val="22"/>
        </w:rPr>
        <w:br w:type="page"/>
      </w:r>
    </w:p>
    <w:tbl>
      <w:tblPr>
        <w:tblW w:w="1002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340"/>
        <w:gridCol w:w="3325"/>
        <w:gridCol w:w="1920"/>
        <w:gridCol w:w="931"/>
        <w:gridCol w:w="1240"/>
        <w:gridCol w:w="820"/>
      </w:tblGrid>
      <w:tr w:rsidR="00A71E9A" w:rsidRPr="00A71E9A" w:rsidTr="000A29EC">
        <w:trPr>
          <w:trHeight w:val="27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Wskaźniki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Metoda ustalenia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Przedziały           wartości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Ocena punktowa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Wskaźnik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Ocena </w:t>
            </w:r>
          </w:p>
        </w:tc>
      </w:tr>
      <w:tr w:rsidR="00A71E9A" w:rsidRPr="00A71E9A" w:rsidTr="000A29EC">
        <w:trPr>
          <w:trHeight w:val="276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71E9A" w:rsidRPr="00A71E9A" w:rsidTr="000A29EC">
        <w:trPr>
          <w:trHeight w:val="240"/>
        </w:trPr>
        <w:tc>
          <w:tcPr>
            <w:tcW w:w="51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916CC6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972FA8" w:rsidRPr="00A71E9A" w:rsidRDefault="00972FA8" w:rsidP="00916CC6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WSKAŹNIKI ZADŁUŻENIA</w:t>
            </w:r>
          </w:p>
          <w:p w:rsidR="00916CC6" w:rsidRPr="00A71E9A" w:rsidRDefault="00916CC6" w:rsidP="00916CC6">
            <w:pPr>
              <w:pStyle w:val="Akapitzlist"/>
              <w:widowControl/>
              <w:suppressAutoHyphens w:val="0"/>
              <w:ind w:left="108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71E9A" w:rsidRPr="00A71E9A" w:rsidTr="00B916E1">
        <w:trPr>
          <w:trHeight w:val="96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Zadłużenia aktywów                       %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A8" w:rsidRPr="00A71E9A" w:rsidRDefault="00972FA8" w:rsidP="007D4B0E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(zobowiązania długoterminowe  + zobowiązania krótkoterminowe + rezerwy na zobowiązania) x 100% /                                                                                                                                                aktywa razem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poniżej 40 %                                    od 40%  do  60%                                             powyżej 60% do 80%                                                                                        powyżej 80%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>10</w:t>
            </w: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                         8                             3                                                                    0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A8" w:rsidRPr="00A71E9A" w:rsidRDefault="0088694F" w:rsidP="002458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</w:t>
            </w:r>
            <w:r w:rsidR="003255BE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8</w:t>
            </w: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FA8" w:rsidRPr="00A71E9A" w:rsidRDefault="0088694F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A71E9A" w:rsidRPr="00A71E9A" w:rsidTr="00B916E1">
        <w:trPr>
          <w:trHeight w:val="14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Wypłacalności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(zobowiązania długoterminowe  + zobowiązania krótkoterminowe + rezerwy na zobowiązania) /                                                                       fundusz własny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od 0,00 do 0,50                               od 0,51 do 1,00                                             od 1,01 do 2,00                                                  od 2,01  do 4,00                                                                                       powyżej 4,00 lub poniżej 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A8" w:rsidRPr="00A71E9A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"/>
                <w:bCs/>
                <w:sz w:val="18"/>
                <w:szCs w:val="18"/>
                <w:lang w:eastAsia="pl-PL"/>
              </w:rPr>
              <w:t>10</w:t>
            </w:r>
            <w:r w:rsidRPr="00A71E9A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                          8                             6                                                                    4                                  0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FA8" w:rsidRPr="00A71E9A" w:rsidRDefault="0088694F" w:rsidP="00D1305E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0,</w:t>
            </w:r>
            <w:r w:rsidR="003255BE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4</w:t>
            </w: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FA8" w:rsidRPr="00A71E9A" w:rsidRDefault="0088694F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972FA8" w:rsidRPr="0097223C" w:rsidTr="000A29EC">
        <w:trPr>
          <w:trHeight w:val="375"/>
        </w:trPr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8CCE4" w:themeFill="accent1" w:themeFillTint="66"/>
            <w:noWrap/>
            <w:vAlign w:val="center"/>
            <w:hideMark/>
          </w:tcPr>
          <w:p w:rsidR="00972FA8" w:rsidRPr="0097223C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         RAZEM   WSKAŹNIKI  EFEKTYWNOŚCI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:rsidR="00972FA8" w:rsidRPr="0097223C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Maksymalna ocena  pkt.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972FA8" w:rsidRPr="0097223C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:rsidR="00972FA8" w:rsidRPr="0097223C" w:rsidRDefault="00972F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color w:val="000000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"/>
                <w:color w:val="000000"/>
                <w:sz w:val="18"/>
                <w:szCs w:val="18"/>
                <w:lang w:eastAsia="pl-PL"/>
              </w:rPr>
              <w:t>Uzyskane pkt.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972FA8" w:rsidRPr="006C634F" w:rsidRDefault="00A767A8" w:rsidP="00972FA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</w:tr>
    </w:tbl>
    <w:p w:rsidR="000A29EC" w:rsidRDefault="000A29EC" w:rsidP="000A29EC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</w:p>
    <w:p w:rsidR="00972FA8" w:rsidRDefault="000A29EC" w:rsidP="00FC589D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  <w:r>
        <w:rPr>
          <w:rFonts w:ascii="DIN Next LT Pro Light" w:hAnsi="DIN Next LT Pro Light" w:cs="Arial"/>
          <w:sz w:val="22"/>
          <w:szCs w:val="22"/>
        </w:rPr>
        <w:t xml:space="preserve">Wskaźniki zadłużenia w CLO utrzymują się na najwyższym możliwym poziomie. Uzyskano 20 punktów na 20 możliwych. </w:t>
      </w:r>
    </w:p>
    <w:p w:rsidR="001F63AD" w:rsidRDefault="001F63AD" w:rsidP="00FC589D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</w:p>
    <w:p w:rsidR="004C55C6" w:rsidRPr="005149CB" w:rsidRDefault="00B033EF" w:rsidP="007D4B0E">
      <w:pPr>
        <w:pStyle w:val="Nagwek2"/>
        <w:numPr>
          <w:ilvl w:val="1"/>
          <w:numId w:val="2"/>
        </w:numPr>
        <w:spacing w:line="360" w:lineRule="auto"/>
        <w:ind w:left="567" w:hanging="567"/>
        <w:jc w:val="both"/>
        <w:rPr>
          <w:rFonts w:ascii="DIN Next LT Pro" w:hAnsi="DIN Next LT Pro" w:cs="Times New Roman"/>
          <w:color w:val="auto"/>
          <w:sz w:val="22"/>
          <w:szCs w:val="22"/>
        </w:rPr>
      </w:pPr>
      <w:bookmarkStart w:id="7" w:name="_Toc100219129"/>
      <w:r w:rsidRPr="005149CB">
        <w:rPr>
          <w:rFonts w:ascii="DIN Next LT Pro" w:hAnsi="DIN Next LT Pro" w:cs="Times New Roman"/>
          <w:color w:val="auto"/>
          <w:sz w:val="22"/>
          <w:szCs w:val="22"/>
        </w:rPr>
        <w:t>O</w:t>
      </w:r>
      <w:r w:rsidR="00FE1A65" w:rsidRPr="005149CB">
        <w:rPr>
          <w:rFonts w:ascii="DIN Next LT Pro" w:hAnsi="DIN Next LT Pro" w:cs="Times New Roman"/>
          <w:color w:val="auto"/>
          <w:sz w:val="22"/>
          <w:szCs w:val="22"/>
        </w:rPr>
        <w:t>cen</w:t>
      </w:r>
      <w:r w:rsidRPr="005149CB">
        <w:rPr>
          <w:rFonts w:ascii="DIN Next LT Pro" w:hAnsi="DIN Next LT Pro" w:cs="Times New Roman"/>
          <w:color w:val="auto"/>
          <w:sz w:val="22"/>
          <w:szCs w:val="22"/>
        </w:rPr>
        <w:t>a</w:t>
      </w:r>
      <w:r w:rsidR="00FE1A65" w:rsidRPr="005149CB">
        <w:rPr>
          <w:rFonts w:ascii="DIN Next LT Pro" w:hAnsi="DIN Next LT Pro" w:cs="Times New Roman"/>
          <w:color w:val="auto"/>
          <w:sz w:val="22"/>
          <w:szCs w:val="22"/>
        </w:rPr>
        <w:t xml:space="preserve"> </w:t>
      </w:r>
      <w:r w:rsidR="00F766E1" w:rsidRPr="005149CB">
        <w:rPr>
          <w:rFonts w:ascii="DIN Next LT Pro" w:hAnsi="DIN Next LT Pro" w:cs="Times New Roman"/>
          <w:color w:val="auto"/>
          <w:sz w:val="22"/>
          <w:szCs w:val="22"/>
        </w:rPr>
        <w:t xml:space="preserve">wskaźnikowa </w:t>
      </w:r>
      <w:r w:rsidR="00FE1A65" w:rsidRPr="005149CB">
        <w:rPr>
          <w:rFonts w:ascii="DIN Next LT Pro" w:hAnsi="DIN Next LT Pro" w:cs="Times New Roman"/>
          <w:color w:val="auto"/>
          <w:sz w:val="22"/>
          <w:szCs w:val="22"/>
        </w:rPr>
        <w:t xml:space="preserve">sytuacji </w:t>
      </w:r>
      <w:proofErr w:type="spellStart"/>
      <w:r w:rsidR="00FE1A65" w:rsidRPr="005149CB">
        <w:rPr>
          <w:rFonts w:ascii="DIN Next LT Pro" w:hAnsi="DIN Next LT Pro" w:cs="Times New Roman"/>
          <w:color w:val="auto"/>
          <w:sz w:val="22"/>
          <w:szCs w:val="22"/>
        </w:rPr>
        <w:t>ekonomiczno</w:t>
      </w:r>
      <w:proofErr w:type="spellEnd"/>
      <w:r w:rsidR="00FE1A65" w:rsidRPr="005149CB">
        <w:rPr>
          <w:rFonts w:ascii="DIN Next LT Pro" w:hAnsi="DIN Next LT Pro" w:cs="Times New Roman"/>
          <w:color w:val="auto"/>
          <w:sz w:val="22"/>
          <w:szCs w:val="22"/>
        </w:rPr>
        <w:t xml:space="preserve"> – finansowej</w:t>
      </w:r>
      <w:r w:rsidR="002435D6" w:rsidRPr="005149CB">
        <w:rPr>
          <w:rFonts w:ascii="DIN Next LT Pro" w:hAnsi="DIN Next LT Pro" w:cs="Times New Roman"/>
          <w:color w:val="auto"/>
          <w:sz w:val="22"/>
          <w:szCs w:val="22"/>
        </w:rPr>
        <w:t xml:space="preserve"> samodzielnego publicznego zakładu opieki zdrowotnej</w:t>
      </w:r>
      <w:bookmarkEnd w:id="7"/>
    </w:p>
    <w:p w:rsidR="006B5E6A" w:rsidRPr="005149CB" w:rsidRDefault="006B5E6A" w:rsidP="006B5E6A">
      <w:pPr>
        <w:pStyle w:val="Akapitzlist"/>
        <w:ind w:left="1080"/>
        <w:jc w:val="both"/>
        <w:rPr>
          <w:rFonts w:ascii="DIN Next LT Pro Light" w:hAnsi="DIN Next LT Pro Light" w:cs="Arial"/>
          <w:b/>
          <w:bCs/>
          <w:szCs w:val="24"/>
        </w:rPr>
      </w:pPr>
    </w:p>
    <w:tbl>
      <w:tblPr>
        <w:tblW w:w="10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5047"/>
        <w:gridCol w:w="1701"/>
        <w:gridCol w:w="1606"/>
      </w:tblGrid>
      <w:tr w:rsidR="006B5E6A" w:rsidRPr="005149CB" w:rsidTr="00DE1E1E">
        <w:trPr>
          <w:trHeight w:val="555"/>
        </w:trPr>
        <w:tc>
          <w:tcPr>
            <w:tcW w:w="1026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TABELA PODSUMOWUJĄCA WYNIKI OCENY SYTUACJI EKONOMICZNO-FINANSOWEJ</w:t>
            </w:r>
          </w:p>
        </w:tc>
      </w:tr>
      <w:tr w:rsidR="006B5E6A" w:rsidRPr="005149CB" w:rsidTr="00DE1E1E">
        <w:trPr>
          <w:trHeight w:val="54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Grupa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Wskaźniki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Wartość wskaźnika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Ocena</w:t>
            </w:r>
          </w:p>
        </w:tc>
      </w:tr>
      <w:tr w:rsidR="005149CB" w:rsidRPr="005149CB" w:rsidTr="006B5E6A">
        <w:trPr>
          <w:trHeight w:val="255"/>
        </w:trPr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1. Wskaźniki zyskowności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1) wskaźnik zyskowności netto (%)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FD1158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0,35</w:t>
            </w:r>
            <w:r w:rsidR="00E93376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767A8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FD1158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5149CB" w:rsidRPr="005149CB" w:rsidTr="006B5E6A">
        <w:trPr>
          <w:trHeight w:val="255"/>
        </w:trPr>
        <w:tc>
          <w:tcPr>
            <w:tcW w:w="1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2) wskaźnik zyskowności działalności operacyjnej (%)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FD1158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0,36</w:t>
            </w:r>
            <w:r w:rsidR="00E93376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767A8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A767A8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5149CB" w:rsidRPr="005149CB" w:rsidTr="00DE1E1E">
        <w:trPr>
          <w:trHeight w:val="270"/>
        </w:trPr>
        <w:tc>
          <w:tcPr>
            <w:tcW w:w="1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3) wskaźnik zyskowności aktywów (%)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FD1158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0,28</w:t>
            </w:r>
            <w:r w:rsidR="00E93376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767A8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A767A8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5149CB" w:rsidRPr="005149CB" w:rsidTr="00DE1E1E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1. Razem: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FD1158" w:rsidP="003A2809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  <w:t>9</w:t>
            </w:r>
          </w:p>
        </w:tc>
      </w:tr>
      <w:tr w:rsidR="006B5E6A" w:rsidRPr="00FF39BF" w:rsidTr="006C634F">
        <w:trPr>
          <w:trHeight w:val="4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color w:val="FF0000"/>
                <w:sz w:val="20"/>
                <w:lang w:eastAsia="pl-PL"/>
              </w:rPr>
            </w:pPr>
          </w:p>
          <w:p w:rsidR="00FD1158" w:rsidRDefault="00FD1158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color w:val="FF0000"/>
                <w:sz w:val="20"/>
                <w:lang w:eastAsia="pl-PL"/>
              </w:rPr>
            </w:pPr>
          </w:p>
          <w:p w:rsidR="00FD1158" w:rsidRPr="00FF39BF" w:rsidRDefault="00FD1158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color w:val="FF0000"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FF39BF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color w:val="FF0000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FF39BF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color w:val="FF0000"/>
                <w:sz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FF39BF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color w:val="FF0000"/>
                <w:sz w:val="20"/>
                <w:lang w:eastAsia="pl-PL"/>
              </w:rPr>
            </w:pPr>
          </w:p>
        </w:tc>
      </w:tr>
      <w:tr w:rsidR="005149CB" w:rsidRPr="00FF39BF" w:rsidTr="006B5E6A">
        <w:trPr>
          <w:trHeight w:val="255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2. Wskaźniki płynności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1) wskaźnik bieżącej płynności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E9337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2,</w:t>
            </w:r>
            <w:r w:rsidR="00FD1158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E9337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</w:tr>
      <w:tr w:rsidR="005149CB" w:rsidRPr="00FF39BF" w:rsidTr="00DE1E1E">
        <w:trPr>
          <w:trHeight w:val="270"/>
        </w:trPr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2) wskaźnik szybkiej płynności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E9337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2,</w:t>
            </w:r>
            <w:r w:rsidR="00FD1158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E9337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</w:t>
            </w:r>
            <w:r w:rsidR="00FD1158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6B5E6A" w:rsidRPr="00FF39BF" w:rsidTr="00DE1E1E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2. Razem: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E93376" w:rsidP="003A2809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  <w:t>2</w:t>
            </w:r>
            <w:r w:rsidR="00FD1158"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  <w:t>5</w:t>
            </w:r>
          </w:p>
        </w:tc>
      </w:tr>
      <w:tr w:rsidR="006B5E6A" w:rsidRPr="0097223C" w:rsidTr="006B5E6A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  <w:p w:rsidR="00EA1D72" w:rsidRDefault="00EA1D72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  <w:p w:rsidR="00EA1D72" w:rsidRPr="0097223C" w:rsidRDefault="00EA1D72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97223C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  <w:p w:rsidR="001B7B7E" w:rsidRPr="0097223C" w:rsidRDefault="001B7B7E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97223C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</w:tr>
      <w:tr w:rsidR="005149CB" w:rsidRPr="0097223C" w:rsidTr="006B5E6A">
        <w:trPr>
          <w:trHeight w:val="255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3. Wskaźniki efektywności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1) wskaźnik rotacji należności (w dniach)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FD1158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E9337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5149CB" w:rsidRPr="0097223C" w:rsidTr="00DE1E1E">
        <w:trPr>
          <w:trHeight w:val="270"/>
        </w:trPr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2) wskaźnik rotacji zobowiązań (w dniach)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FD1158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B649C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6B5E6A" w:rsidRPr="0097223C" w:rsidTr="00DE1E1E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3. Razem: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B5E6A" w:rsidRPr="005149CB" w:rsidRDefault="00B649C6" w:rsidP="003A2809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  <w:t>10</w:t>
            </w:r>
          </w:p>
        </w:tc>
      </w:tr>
      <w:tr w:rsidR="006B5E6A" w:rsidRPr="0097223C" w:rsidTr="006B5E6A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</w:tr>
      <w:tr w:rsidR="005149CB" w:rsidRPr="0097223C" w:rsidTr="006B5E6A">
        <w:trPr>
          <w:trHeight w:val="255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4. Wskaźniki zadłużenia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1) wskaźnik zadłużenia aktywów (%)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B649C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</w:t>
            </w:r>
            <w:r w:rsidR="00FD1158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8</w:t>
            </w: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B649C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5149CB" w:rsidRPr="0097223C" w:rsidTr="005F2303">
        <w:trPr>
          <w:trHeight w:val="270"/>
        </w:trPr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9CB" w:rsidRPr="005149CB" w:rsidRDefault="005149CB" w:rsidP="005149CB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sz w:val="20"/>
                <w:lang w:eastAsia="pl-PL"/>
              </w:rPr>
              <w:t>2) wskaźnik wypłacalności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B649C6" w:rsidP="00FD1158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0,</w:t>
            </w:r>
            <w:r w:rsidR="00FD1158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4</w:t>
            </w:r>
            <w:r w:rsidR="00E93376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9CB" w:rsidRPr="005149CB" w:rsidRDefault="00B649C6" w:rsidP="005149CB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6B5E6A" w:rsidRPr="0097223C" w:rsidTr="00DE1E1E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4. Razem: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B5E6A" w:rsidRPr="005149CB" w:rsidRDefault="00B649C6" w:rsidP="003A2809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  <w:t>20</w:t>
            </w:r>
          </w:p>
        </w:tc>
      </w:tr>
      <w:tr w:rsidR="006B5E6A" w:rsidRPr="0097223C" w:rsidTr="00DE1E1E">
        <w:trPr>
          <w:trHeight w:val="270"/>
        </w:trPr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E6A" w:rsidRPr="005149CB" w:rsidRDefault="006B5E6A" w:rsidP="006B5E6A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20"/>
                <w:lang w:eastAsia="pl-PL"/>
              </w:rPr>
            </w:pPr>
          </w:p>
        </w:tc>
      </w:tr>
      <w:tr w:rsidR="006B5E6A" w:rsidRPr="0097223C" w:rsidTr="00DE1E1E">
        <w:trPr>
          <w:trHeight w:val="270"/>
        </w:trPr>
        <w:tc>
          <w:tcPr>
            <w:tcW w:w="8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bottom"/>
            <w:hideMark/>
          </w:tcPr>
          <w:p w:rsidR="006B5E6A" w:rsidRPr="005149CB" w:rsidRDefault="006B5E6A" w:rsidP="006B5E6A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</w:pPr>
            <w:r w:rsidRPr="005149CB">
              <w:rPr>
                <w:rFonts w:ascii="DIN Next LT Pro Light" w:eastAsia="Times New Roman" w:hAnsi="DIN Next LT Pro Light" w:cs="Arial"/>
                <w:b/>
                <w:bCs/>
                <w:sz w:val="20"/>
                <w:lang w:eastAsia="pl-PL"/>
              </w:rPr>
              <w:t>Łączna wartość punktów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B5E6A" w:rsidRPr="005149CB" w:rsidRDefault="00B649C6" w:rsidP="003A2809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  <w:t>6</w:t>
            </w:r>
            <w:r w:rsidR="00FD1158">
              <w:rPr>
                <w:rFonts w:ascii="DIN Next LT Pro Light" w:eastAsia="Times New Roman" w:hAnsi="DIN Next LT Pro Light" w:cs="Arial"/>
                <w:b/>
                <w:sz w:val="20"/>
                <w:lang w:eastAsia="pl-PL"/>
              </w:rPr>
              <w:t>4</w:t>
            </w:r>
          </w:p>
        </w:tc>
      </w:tr>
    </w:tbl>
    <w:p w:rsidR="000A29EC" w:rsidRDefault="000A29EC" w:rsidP="000A29EC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</w:p>
    <w:p w:rsidR="000A29EC" w:rsidRPr="004D1D24" w:rsidRDefault="000A29EC" w:rsidP="000A29EC">
      <w:pPr>
        <w:spacing w:line="360" w:lineRule="auto"/>
        <w:jc w:val="both"/>
        <w:rPr>
          <w:rFonts w:ascii="DIN Next LT Pro Light" w:hAnsi="DIN Next LT Pro Light" w:cs="Arial"/>
          <w:sz w:val="22"/>
          <w:szCs w:val="22"/>
        </w:rPr>
      </w:pPr>
      <w:r>
        <w:rPr>
          <w:rFonts w:ascii="DIN Next LT Pro Light" w:hAnsi="DIN Next LT Pro Light" w:cs="Arial"/>
          <w:sz w:val="22"/>
          <w:szCs w:val="22"/>
        </w:rPr>
        <w:t>Ogółem uzyskano 6</w:t>
      </w:r>
      <w:r w:rsidR="00FD1158">
        <w:rPr>
          <w:rFonts w:ascii="DIN Next LT Pro Light" w:hAnsi="DIN Next LT Pro Light" w:cs="Arial"/>
          <w:sz w:val="22"/>
          <w:szCs w:val="22"/>
        </w:rPr>
        <w:t>4</w:t>
      </w:r>
      <w:r>
        <w:rPr>
          <w:rFonts w:ascii="DIN Next LT Pro Light" w:hAnsi="DIN Next LT Pro Light" w:cs="Arial"/>
          <w:sz w:val="22"/>
          <w:szCs w:val="22"/>
        </w:rPr>
        <w:t xml:space="preserve"> punktów na 70 możliwych, co należy uznać za bardzo dobry rezultat, odzwierciedlający wysoki poziom zarządczy w CLO. </w:t>
      </w:r>
    </w:p>
    <w:p w:rsidR="00FE1A65" w:rsidRPr="00D81033" w:rsidRDefault="00D00E94" w:rsidP="00AB75DC">
      <w:pPr>
        <w:pStyle w:val="Nagwek2"/>
        <w:numPr>
          <w:ilvl w:val="1"/>
          <w:numId w:val="2"/>
        </w:numPr>
        <w:spacing w:line="360" w:lineRule="auto"/>
        <w:ind w:left="567" w:hanging="567"/>
        <w:jc w:val="both"/>
        <w:rPr>
          <w:rFonts w:ascii="DIN Next LT Pro" w:hAnsi="DIN Next LT Pro" w:cs="Times New Roman"/>
          <w:color w:val="005682"/>
          <w:sz w:val="22"/>
          <w:szCs w:val="22"/>
        </w:rPr>
      </w:pPr>
      <w:r w:rsidRPr="00D81033">
        <w:rPr>
          <w:rFonts w:ascii="DIN Next LT Pro" w:hAnsi="DIN Next LT Pro"/>
          <w:color w:val="005682"/>
          <w:sz w:val="22"/>
          <w:szCs w:val="22"/>
        </w:rPr>
        <w:lastRenderedPageBreak/>
        <w:t xml:space="preserve"> </w:t>
      </w:r>
      <w:bookmarkStart w:id="8" w:name="_Toc100219130"/>
      <w:r w:rsidR="00FE1A65" w:rsidRPr="00D81033">
        <w:rPr>
          <w:rFonts w:ascii="DIN Next LT Pro" w:hAnsi="DIN Next LT Pro" w:cs="Times New Roman"/>
          <w:color w:val="005682"/>
          <w:sz w:val="22"/>
          <w:szCs w:val="22"/>
        </w:rPr>
        <w:t xml:space="preserve">Podsumowanie analizy sytuacji </w:t>
      </w:r>
      <w:proofErr w:type="spellStart"/>
      <w:r w:rsidR="00FE1A65" w:rsidRPr="00D81033">
        <w:rPr>
          <w:rFonts w:ascii="DIN Next LT Pro" w:hAnsi="DIN Next LT Pro" w:cs="Times New Roman"/>
          <w:color w:val="005682"/>
          <w:sz w:val="22"/>
          <w:szCs w:val="22"/>
        </w:rPr>
        <w:t>ekonomiczno</w:t>
      </w:r>
      <w:proofErr w:type="spellEnd"/>
      <w:r w:rsidR="00FE1A65" w:rsidRPr="00D81033">
        <w:rPr>
          <w:rFonts w:ascii="DIN Next LT Pro" w:hAnsi="DIN Next LT Pro" w:cs="Times New Roman"/>
          <w:color w:val="005682"/>
          <w:sz w:val="22"/>
          <w:szCs w:val="22"/>
        </w:rPr>
        <w:t xml:space="preserve"> – finansowej podmiotu leczniczego za 20</w:t>
      </w:r>
      <w:r w:rsidR="00124878">
        <w:rPr>
          <w:rFonts w:ascii="DIN Next LT Pro" w:hAnsi="DIN Next LT Pro" w:cs="Times New Roman"/>
          <w:color w:val="005682"/>
          <w:sz w:val="22"/>
          <w:szCs w:val="22"/>
        </w:rPr>
        <w:t>2</w:t>
      </w:r>
      <w:r w:rsidR="00045A60">
        <w:rPr>
          <w:rFonts w:ascii="DIN Next LT Pro" w:hAnsi="DIN Next LT Pro" w:cs="Times New Roman"/>
          <w:color w:val="005682"/>
          <w:sz w:val="22"/>
          <w:szCs w:val="22"/>
        </w:rPr>
        <w:t>4</w:t>
      </w:r>
      <w:r w:rsidR="00FE1A65" w:rsidRPr="00D81033">
        <w:rPr>
          <w:rFonts w:ascii="DIN Next LT Pro" w:hAnsi="DIN Next LT Pro" w:cs="Times New Roman"/>
          <w:color w:val="005682"/>
          <w:sz w:val="22"/>
          <w:szCs w:val="22"/>
        </w:rPr>
        <w:t xml:space="preserve"> rok</w:t>
      </w:r>
      <w:r w:rsidR="002435D6" w:rsidRPr="00D81033">
        <w:rPr>
          <w:rFonts w:ascii="DIN Next LT Pro" w:hAnsi="DIN Next LT Pro" w:cs="Times New Roman"/>
          <w:color w:val="005682"/>
          <w:sz w:val="22"/>
          <w:szCs w:val="22"/>
        </w:rPr>
        <w:t xml:space="preserve"> </w:t>
      </w:r>
      <w:r w:rsidR="00D81033" w:rsidRPr="00D81033">
        <w:rPr>
          <w:rFonts w:ascii="DIN Next LT Pro" w:hAnsi="DIN Next LT Pro" w:cs="Times New Roman"/>
          <w:color w:val="005682"/>
          <w:sz w:val="22"/>
          <w:szCs w:val="22"/>
        </w:rPr>
        <w:t>–</w:t>
      </w:r>
      <w:r w:rsidR="002435D6" w:rsidRPr="00D81033">
        <w:rPr>
          <w:rFonts w:ascii="DIN Next LT Pro" w:hAnsi="DIN Next LT Pro" w:cs="Times New Roman"/>
          <w:color w:val="005682"/>
          <w:sz w:val="22"/>
          <w:szCs w:val="22"/>
        </w:rPr>
        <w:t xml:space="preserve"> wnioski</w:t>
      </w:r>
      <w:bookmarkEnd w:id="8"/>
    </w:p>
    <w:p w:rsidR="00D81033" w:rsidRPr="00D81033" w:rsidRDefault="00D81033" w:rsidP="00D81033"/>
    <w:p w:rsidR="0030057E" w:rsidRPr="005149CB" w:rsidRDefault="0030057E" w:rsidP="00AB75DC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DIN Next LT Pro Light" w:eastAsia="Times New Roman" w:hAnsi="DIN Next LT Pro Light" w:cs="Times New Roman"/>
        </w:rPr>
      </w:pPr>
      <w:r w:rsidRPr="005149CB">
        <w:rPr>
          <w:rFonts w:ascii="DIN Next LT Pro Light" w:eastAsia="Times New Roman" w:hAnsi="DIN Next LT Pro Light" w:cs="Times New Roman"/>
        </w:rPr>
        <w:t xml:space="preserve">Centrum Leczenia Oparzeń </w:t>
      </w:r>
      <w:r w:rsidR="00DF3249" w:rsidRPr="005149CB">
        <w:rPr>
          <w:rFonts w:ascii="DIN Next LT Pro Light" w:eastAsia="Times New Roman" w:hAnsi="DIN Next LT Pro Light" w:cs="Times New Roman"/>
        </w:rPr>
        <w:t xml:space="preserve">im. dr. Stanisława </w:t>
      </w:r>
      <w:proofErr w:type="spellStart"/>
      <w:r w:rsidR="00DF3249" w:rsidRPr="005149CB">
        <w:rPr>
          <w:rFonts w:ascii="DIN Next LT Pro Light" w:eastAsia="Times New Roman" w:hAnsi="DIN Next LT Pro Light" w:cs="Times New Roman"/>
        </w:rPr>
        <w:t>Sakiela</w:t>
      </w:r>
      <w:proofErr w:type="spellEnd"/>
      <w:r w:rsidR="00DF3249" w:rsidRPr="005149CB">
        <w:rPr>
          <w:rFonts w:ascii="DIN Next LT Pro Light" w:eastAsia="Times New Roman" w:hAnsi="DIN Next LT Pro Light" w:cs="Times New Roman"/>
        </w:rPr>
        <w:t xml:space="preserve"> w Siemianowicach Śląskich </w:t>
      </w:r>
      <w:r w:rsidRPr="005149CB">
        <w:rPr>
          <w:rFonts w:ascii="DIN Next LT Pro Light" w:eastAsia="Times New Roman" w:hAnsi="DIN Next LT Pro Light" w:cs="Times New Roman"/>
        </w:rPr>
        <w:t xml:space="preserve">wygenerowało </w:t>
      </w:r>
      <w:r w:rsidR="00FF0D7A">
        <w:rPr>
          <w:rFonts w:ascii="DIN Next LT Pro Light" w:eastAsia="Times New Roman" w:hAnsi="DIN Next LT Pro Light" w:cs="Times New Roman"/>
        </w:rPr>
        <w:br/>
      </w:r>
      <w:r w:rsidR="00CB3EB0">
        <w:rPr>
          <w:rFonts w:ascii="DIN Next LT Pro Light" w:eastAsia="Times New Roman" w:hAnsi="DIN Next LT Pro Light" w:cs="Times New Roman"/>
        </w:rPr>
        <w:t>z</w:t>
      </w:r>
      <w:r w:rsidR="00CB3EB0" w:rsidRPr="005149CB">
        <w:rPr>
          <w:rFonts w:ascii="DIN Next LT Pro Light" w:eastAsia="Times New Roman" w:hAnsi="DIN Next LT Pro Light" w:cs="Times New Roman"/>
        </w:rPr>
        <w:t>a okres 12</w:t>
      </w:r>
      <w:r w:rsidR="00CB3EB0" w:rsidRPr="005149CB">
        <w:rPr>
          <w:rFonts w:ascii="DIN Next LT Pro Light" w:hAnsi="DIN Next LT Pro Light"/>
        </w:rPr>
        <w:t xml:space="preserve"> m-</w:t>
      </w:r>
      <w:proofErr w:type="spellStart"/>
      <w:r w:rsidR="00CB3EB0" w:rsidRPr="005149CB">
        <w:rPr>
          <w:rFonts w:ascii="DIN Next LT Pro Light" w:hAnsi="DIN Next LT Pro Light"/>
        </w:rPr>
        <w:t>cy</w:t>
      </w:r>
      <w:proofErr w:type="spellEnd"/>
      <w:r w:rsidR="00CB3EB0" w:rsidRPr="005149CB">
        <w:rPr>
          <w:rFonts w:ascii="DIN Next LT Pro Light" w:hAnsi="DIN Next LT Pro Light"/>
        </w:rPr>
        <w:t xml:space="preserve"> 202</w:t>
      </w:r>
      <w:r w:rsidR="00045A60">
        <w:rPr>
          <w:rFonts w:ascii="DIN Next LT Pro Light" w:hAnsi="DIN Next LT Pro Light"/>
        </w:rPr>
        <w:t>4</w:t>
      </w:r>
      <w:r w:rsidR="00CB3EB0" w:rsidRPr="005149CB">
        <w:rPr>
          <w:rFonts w:ascii="DIN Next LT Pro Light" w:eastAsia="Times New Roman" w:hAnsi="DIN Next LT Pro Light" w:cs="Times New Roman"/>
        </w:rPr>
        <w:t xml:space="preserve"> r. </w:t>
      </w:r>
      <w:r w:rsidR="005F4599" w:rsidRPr="005149CB">
        <w:rPr>
          <w:rFonts w:ascii="DIN Next LT Pro Light" w:eastAsia="Times New Roman" w:hAnsi="DIN Next LT Pro Light" w:cs="Times New Roman"/>
        </w:rPr>
        <w:t xml:space="preserve">następujący </w:t>
      </w:r>
      <w:r w:rsidRPr="005149CB">
        <w:rPr>
          <w:rFonts w:ascii="DIN Next LT Pro Light" w:eastAsia="Times New Roman" w:hAnsi="DIN Next LT Pro Light" w:cs="Times New Roman"/>
        </w:rPr>
        <w:t xml:space="preserve">wynik finansowy na </w:t>
      </w:r>
      <w:r w:rsidR="005F4599" w:rsidRPr="005149CB">
        <w:rPr>
          <w:rFonts w:ascii="DIN Next LT Pro Light" w:eastAsia="Times New Roman" w:hAnsi="DIN Next LT Pro Light" w:cs="Times New Roman"/>
        </w:rPr>
        <w:t xml:space="preserve">poszczególnych </w:t>
      </w:r>
      <w:r w:rsidRPr="005149CB">
        <w:rPr>
          <w:rFonts w:ascii="DIN Next LT Pro Light" w:eastAsia="Times New Roman" w:hAnsi="DIN Next LT Pro Light" w:cs="Times New Roman"/>
        </w:rPr>
        <w:t>poziomach działalności:</w:t>
      </w:r>
    </w:p>
    <w:p w:rsidR="00AB75DC" w:rsidRPr="005149CB" w:rsidRDefault="00415FF6" w:rsidP="00D81033">
      <w:pPr>
        <w:pStyle w:val="Bezodstpw"/>
        <w:numPr>
          <w:ilvl w:val="0"/>
          <w:numId w:val="18"/>
        </w:numPr>
        <w:spacing w:line="360" w:lineRule="auto"/>
        <w:rPr>
          <w:rFonts w:ascii="DIN Next LT Pro Light" w:hAnsi="DIN Next LT Pro Light"/>
        </w:rPr>
      </w:pPr>
      <w:r w:rsidRPr="005149CB">
        <w:rPr>
          <w:rFonts w:ascii="DIN Next LT Pro Light" w:hAnsi="DIN Next LT Pro Light"/>
        </w:rPr>
        <w:t>s</w:t>
      </w:r>
      <w:r w:rsidR="00AD72BC" w:rsidRPr="005149CB">
        <w:rPr>
          <w:rFonts w:ascii="DIN Next LT Pro Light" w:hAnsi="DIN Next LT Pro Light"/>
        </w:rPr>
        <w:t>trata</w:t>
      </w:r>
      <w:r w:rsidR="0030057E" w:rsidRPr="005149CB">
        <w:rPr>
          <w:rFonts w:ascii="DIN Next LT Pro Light" w:eastAsia="Times New Roman" w:hAnsi="DIN Next LT Pro Light" w:cs="Times New Roman"/>
        </w:rPr>
        <w:t xml:space="preserve"> ze sprzedaży: </w:t>
      </w:r>
      <w:r w:rsidR="00AD72BC" w:rsidRPr="005149CB">
        <w:rPr>
          <w:rFonts w:ascii="DIN Next LT Pro Light" w:eastAsia="Times New Roman" w:hAnsi="DIN Next LT Pro Light" w:cs="Times New Roman"/>
        </w:rPr>
        <w:t>-</w:t>
      </w:r>
      <w:r w:rsidR="00045A60">
        <w:rPr>
          <w:rFonts w:ascii="DIN Next LT Pro Light" w:eastAsia="Times New Roman" w:hAnsi="DIN Next LT Pro Light" w:cs="Times New Roman"/>
        </w:rPr>
        <w:t xml:space="preserve"> 5 592 478</w:t>
      </w:r>
      <w:r w:rsidR="0030057E" w:rsidRPr="005149CB">
        <w:rPr>
          <w:rFonts w:ascii="DIN Next LT Pro Light" w:eastAsia="Times New Roman" w:hAnsi="DIN Next LT Pro Light" w:cs="Times New Roman"/>
        </w:rPr>
        <w:t xml:space="preserve"> zł</w:t>
      </w:r>
      <w:r w:rsidRPr="005149CB">
        <w:rPr>
          <w:rFonts w:ascii="DIN Next LT Pro Light" w:eastAsia="Times New Roman" w:hAnsi="DIN Next LT Pro Light" w:cs="Times New Roman"/>
        </w:rPr>
        <w:t>;</w:t>
      </w:r>
    </w:p>
    <w:p w:rsidR="00AB75DC" w:rsidRPr="005149CB" w:rsidRDefault="003B4DA7" w:rsidP="00D81033">
      <w:pPr>
        <w:pStyle w:val="Bezodstpw"/>
        <w:numPr>
          <w:ilvl w:val="0"/>
          <w:numId w:val="18"/>
        </w:numPr>
        <w:spacing w:line="360" w:lineRule="auto"/>
        <w:rPr>
          <w:rFonts w:ascii="DIN Next LT Pro Light" w:hAnsi="DIN Next LT Pro Light"/>
        </w:rPr>
      </w:pPr>
      <w:r w:rsidRPr="005149CB">
        <w:rPr>
          <w:rFonts w:ascii="DIN Next LT Pro Light" w:hAnsi="DIN Next LT Pro Light"/>
        </w:rPr>
        <w:t>zysk</w:t>
      </w:r>
      <w:r w:rsidR="00AD72BC" w:rsidRPr="005149CB">
        <w:rPr>
          <w:rFonts w:ascii="DIN Next LT Pro Light" w:hAnsi="DIN Next LT Pro Light"/>
        </w:rPr>
        <w:t xml:space="preserve"> </w:t>
      </w:r>
      <w:r w:rsidR="0030057E" w:rsidRPr="005149CB">
        <w:rPr>
          <w:rFonts w:ascii="DIN Next LT Pro Light" w:eastAsia="Times New Roman" w:hAnsi="DIN Next LT Pro Light" w:cs="Times New Roman"/>
        </w:rPr>
        <w:t xml:space="preserve">z działalności operacyjnej: </w:t>
      </w:r>
      <w:r w:rsidR="00045A60">
        <w:rPr>
          <w:rFonts w:ascii="DIN Next LT Pro Light" w:eastAsia="Times New Roman" w:hAnsi="DIN Next LT Pro Light" w:cs="Times New Roman"/>
        </w:rPr>
        <w:t xml:space="preserve">351 194 </w:t>
      </w:r>
      <w:r w:rsidR="0030057E" w:rsidRPr="005149CB">
        <w:rPr>
          <w:rFonts w:ascii="DIN Next LT Pro Light" w:eastAsia="Times New Roman" w:hAnsi="DIN Next LT Pro Light" w:cs="Times New Roman"/>
        </w:rPr>
        <w:t>zł</w:t>
      </w:r>
      <w:r w:rsidR="00415FF6" w:rsidRPr="005149CB">
        <w:rPr>
          <w:rFonts w:ascii="DIN Next LT Pro Light" w:eastAsia="Times New Roman" w:hAnsi="DIN Next LT Pro Light" w:cs="Times New Roman"/>
        </w:rPr>
        <w:t>;</w:t>
      </w:r>
    </w:p>
    <w:p w:rsidR="00AB75DC" w:rsidRPr="005149CB" w:rsidRDefault="003B4DA7" w:rsidP="00D81033">
      <w:pPr>
        <w:pStyle w:val="Bezodstpw"/>
        <w:numPr>
          <w:ilvl w:val="0"/>
          <w:numId w:val="18"/>
        </w:numPr>
        <w:spacing w:line="360" w:lineRule="auto"/>
        <w:rPr>
          <w:rFonts w:ascii="DIN Next LT Pro Light" w:hAnsi="DIN Next LT Pro Light"/>
        </w:rPr>
      </w:pPr>
      <w:r w:rsidRPr="005149CB">
        <w:rPr>
          <w:rFonts w:ascii="DIN Next LT Pro Light" w:hAnsi="DIN Next LT Pro Light"/>
        </w:rPr>
        <w:t>zysk</w:t>
      </w:r>
      <w:r w:rsidR="0030057E" w:rsidRPr="005149CB">
        <w:rPr>
          <w:rFonts w:ascii="DIN Next LT Pro Light" w:eastAsia="Times New Roman" w:hAnsi="DIN Next LT Pro Light" w:cs="Times New Roman"/>
        </w:rPr>
        <w:t xml:space="preserve"> z działalności gospodarczej: </w:t>
      </w:r>
      <w:r w:rsidR="00B916E1">
        <w:rPr>
          <w:rFonts w:ascii="DIN Next LT Pro Light" w:eastAsia="Times New Roman" w:hAnsi="DIN Next LT Pro Light" w:cs="Times New Roman"/>
        </w:rPr>
        <w:t xml:space="preserve"> </w:t>
      </w:r>
      <w:r w:rsidR="00045A60">
        <w:rPr>
          <w:rFonts w:ascii="DIN Next LT Pro Light" w:eastAsia="Times New Roman" w:hAnsi="DIN Next LT Pro Light" w:cs="Times New Roman"/>
        </w:rPr>
        <w:t>351 194</w:t>
      </w:r>
      <w:r w:rsidR="00A76585" w:rsidRPr="005149CB">
        <w:rPr>
          <w:rFonts w:ascii="DIN Next LT Pro Light" w:eastAsia="Times New Roman" w:hAnsi="DIN Next LT Pro Light" w:cs="Times New Roman"/>
        </w:rPr>
        <w:t xml:space="preserve"> zł</w:t>
      </w:r>
      <w:r w:rsidR="00415FF6" w:rsidRPr="005149CB">
        <w:rPr>
          <w:rFonts w:ascii="DIN Next LT Pro Light" w:eastAsia="Times New Roman" w:hAnsi="DIN Next LT Pro Light" w:cs="Times New Roman"/>
        </w:rPr>
        <w:t>;</w:t>
      </w:r>
    </w:p>
    <w:p w:rsidR="00AB75DC" w:rsidRPr="005149CB" w:rsidRDefault="003B4DA7" w:rsidP="00D81033">
      <w:pPr>
        <w:pStyle w:val="Bezodstpw"/>
        <w:numPr>
          <w:ilvl w:val="0"/>
          <w:numId w:val="18"/>
        </w:numPr>
        <w:spacing w:line="360" w:lineRule="auto"/>
        <w:rPr>
          <w:rFonts w:ascii="DIN Next LT Pro Light" w:hAnsi="DIN Next LT Pro Light"/>
        </w:rPr>
      </w:pPr>
      <w:r w:rsidRPr="005149CB">
        <w:rPr>
          <w:rFonts w:ascii="DIN Next LT Pro Light" w:hAnsi="DIN Next LT Pro Light"/>
        </w:rPr>
        <w:t>zysk</w:t>
      </w:r>
      <w:r w:rsidR="00206F2E" w:rsidRPr="005149CB">
        <w:rPr>
          <w:rFonts w:ascii="DIN Next LT Pro Light" w:hAnsi="DIN Next LT Pro Light"/>
        </w:rPr>
        <w:t xml:space="preserve"> </w:t>
      </w:r>
      <w:r w:rsidR="000B2751">
        <w:rPr>
          <w:rFonts w:ascii="DIN Next LT Pro Light" w:hAnsi="DIN Next LT Pro Light"/>
        </w:rPr>
        <w:t xml:space="preserve">brutto: </w:t>
      </w:r>
      <w:r w:rsidR="00045A60">
        <w:rPr>
          <w:rFonts w:ascii="DIN Next LT Pro Light" w:hAnsi="DIN Next LT Pro Light"/>
        </w:rPr>
        <w:t>418 380</w:t>
      </w:r>
      <w:r w:rsidR="00F65B46">
        <w:rPr>
          <w:rFonts w:ascii="DIN Next LT Pro Light" w:hAnsi="DIN Next LT Pro Light"/>
        </w:rPr>
        <w:t xml:space="preserve"> </w:t>
      </w:r>
      <w:r w:rsidR="0030057E" w:rsidRPr="005149CB">
        <w:rPr>
          <w:rFonts w:ascii="DIN Next LT Pro Light" w:eastAsia="Times New Roman" w:hAnsi="DIN Next LT Pro Light" w:cs="Times New Roman"/>
        </w:rPr>
        <w:t>zł</w:t>
      </w:r>
      <w:r w:rsidR="00415FF6" w:rsidRPr="005149CB">
        <w:rPr>
          <w:rFonts w:ascii="DIN Next LT Pro Light" w:eastAsia="Times New Roman" w:hAnsi="DIN Next LT Pro Light" w:cs="Times New Roman"/>
        </w:rPr>
        <w:t>;</w:t>
      </w:r>
    </w:p>
    <w:p w:rsidR="0030057E" w:rsidRPr="005149CB" w:rsidRDefault="003B4DA7" w:rsidP="00D81033">
      <w:pPr>
        <w:pStyle w:val="Bezodstpw"/>
        <w:numPr>
          <w:ilvl w:val="0"/>
          <w:numId w:val="18"/>
        </w:numPr>
        <w:spacing w:line="360" w:lineRule="auto"/>
        <w:rPr>
          <w:rFonts w:ascii="DIN Next LT Pro Light" w:eastAsia="Times New Roman" w:hAnsi="DIN Next LT Pro Light" w:cs="Times New Roman"/>
        </w:rPr>
      </w:pPr>
      <w:r w:rsidRPr="005149CB">
        <w:rPr>
          <w:rFonts w:ascii="DIN Next LT Pro Light" w:hAnsi="DIN Next LT Pro Light"/>
        </w:rPr>
        <w:t>zysk</w:t>
      </w:r>
      <w:r w:rsidR="00206F2E" w:rsidRPr="005149CB">
        <w:rPr>
          <w:rFonts w:ascii="DIN Next LT Pro Light" w:hAnsi="DIN Next LT Pro Light"/>
        </w:rPr>
        <w:t xml:space="preserve"> </w:t>
      </w:r>
      <w:r w:rsidR="00AD72BC" w:rsidRPr="005149CB">
        <w:rPr>
          <w:rFonts w:ascii="DIN Next LT Pro Light" w:hAnsi="DIN Next LT Pro Light"/>
        </w:rPr>
        <w:t xml:space="preserve">netto: </w:t>
      </w:r>
      <w:r w:rsidR="00045A60">
        <w:rPr>
          <w:rFonts w:ascii="DIN Next LT Pro Light" w:hAnsi="DIN Next LT Pro Light"/>
        </w:rPr>
        <w:t xml:space="preserve"> 341 526</w:t>
      </w:r>
      <w:r w:rsidR="00B916E1">
        <w:rPr>
          <w:rFonts w:ascii="DIN Next LT Pro Light" w:hAnsi="DIN Next LT Pro Light"/>
        </w:rPr>
        <w:t xml:space="preserve"> </w:t>
      </w:r>
      <w:r w:rsidR="0030057E" w:rsidRPr="005149CB">
        <w:rPr>
          <w:rFonts w:ascii="DIN Next LT Pro Light" w:eastAsia="Times New Roman" w:hAnsi="DIN Next LT Pro Light" w:cs="Times New Roman"/>
        </w:rPr>
        <w:t>zł</w:t>
      </w:r>
      <w:r w:rsidR="00415FF6" w:rsidRPr="005149CB">
        <w:rPr>
          <w:rFonts w:ascii="DIN Next LT Pro Light" w:eastAsia="Times New Roman" w:hAnsi="DIN Next LT Pro Light" w:cs="Times New Roman"/>
        </w:rPr>
        <w:t>.</w:t>
      </w:r>
    </w:p>
    <w:p w:rsidR="00AB75DC" w:rsidRPr="005149CB" w:rsidRDefault="007D4B0E" w:rsidP="00A17DCB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DIN Next LT Pro Light" w:eastAsia="Times New Roman" w:hAnsi="DIN Next LT Pro Light" w:cs="Times New Roman"/>
        </w:rPr>
      </w:pPr>
      <w:r w:rsidRPr="005149CB">
        <w:rPr>
          <w:rFonts w:ascii="DIN Next LT Pro Light" w:eastAsia="Times New Roman" w:hAnsi="DIN Next LT Pro Light" w:cs="Times New Roman"/>
        </w:rPr>
        <w:t>Na dzień 31.12</w:t>
      </w:r>
      <w:r w:rsidRPr="005149CB">
        <w:rPr>
          <w:rFonts w:ascii="DIN Next LT Pro Light" w:hAnsi="DIN Next LT Pro Light"/>
        </w:rPr>
        <w:t>.</w:t>
      </w:r>
      <w:r w:rsidR="00206F2E" w:rsidRPr="005149CB">
        <w:rPr>
          <w:rFonts w:ascii="DIN Next LT Pro Light" w:hAnsi="DIN Next LT Pro Light"/>
        </w:rPr>
        <w:t>202</w:t>
      </w:r>
      <w:r w:rsidR="00FD065C">
        <w:rPr>
          <w:rFonts w:ascii="DIN Next LT Pro Light" w:hAnsi="DIN Next LT Pro Light"/>
        </w:rPr>
        <w:t>4</w:t>
      </w:r>
      <w:r w:rsidR="00206F2E" w:rsidRPr="005149CB">
        <w:rPr>
          <w:rFonts w:ascii="DIN Next LT Pro Light" w:hAnsi="DIN Next LT Pro Light"/>
        </w:rPr>
        <w:t xml:space="preserve"> </w:t>
      </w:r>
      <w:r w:rsidRPr="005149CB">
        <w:rPr>
          <w:rFonts w:ascii="DIN Next LT Pro Light" w:eastAsia="Times New Roman" w:hAnsi="DIN Next LT Pro Light" w:cs="Times New Roman"/>
        </w:rPr>
        <w:t xml:space="preserve">r. w Centrum Leczenia Oparzeń </w:t>
      </w:r>
      <w:r w:rsidR="00DF3249" w:rsidRPr="005149CB">
        <w:rPr>
          <w:rFonts w:ascii="DIN Next LT Pro Light" w:eastAsia="Times New Roman" w:hAnsi="DIN Next LT Pro Light" w:cs="Times New Roman"/>
        </w:rPr>
        <w:t xml:space="preserve">im. dr. Stanisława </w:t>
      </w:r>
      <w:proofErr w:type="spellStart"/>
      <w:r w:rsidR="00DF3249" w:rsidRPr="005149CB">
        <w:rPr>
          <w:rFonts w:ascii="DIN Next LT Pro Light" w:eastAsia="Times New Roman" w:hAnsi="DIN Next LT Pro Light" w:cs="Times New Roman"/>
        </w:rPr>
        <w:t>Sakiela</w:t>
      </w:r>
      <w:proofErr w:type="spellEnd"/>
      <w:r w:rsidR="00DF3249" w:rsidRPr="005149CB">
        <w:rPr>
          <w:rFonts w:ascii="DIN Next LT Pro Light" w:eastAsia="Times New Roman" w:hAnsi="DIN Next LT Pro Light" w:cs="Times New Roman"/>
        </w:rPr>
        <w:t xml:space="preserve"> w Siemianowicach Śląskich </w:t>
      </w:r>
      <w:r w:rsidRPr="005149CB">
        <w:rPr>
          <w:rFonts w:ascii="DIN Next LT Pro Light" w:eastAsia="Times New Roman" w:hAnsi="DIN Next LT Pro Light" w:cs="Times New Roman"/>
        </w:rPr>
        <w:t>nie występ</w:t>
      </w:r>
      <w:r w:rsidR="00DF3249" w:rsidRPr="005149CB">
        <w:rPr>
          <w:rFonts w:ascii="DIN Next LT Pro Light" w:eastAsia="Times New Roman" w:hAnsi="DIN Next LT Pro Light" w:cs="Times New Roman"/>
        </w:rPr>
        <w:t>owało zadłużenie długoterminowe,</w:t>
      </w:r>
      <w:r w:rsidR="00E612A4" w:rsidRPr="005149CB">
        <w:rPr>
          <w:rFonts w:ascii="DIN Next LT Pro Light" w:eastAsia="Times New Roman" w:hAnsi="DIN Next LT Pro Light" w:cs="Times New Roman"/>
        </w:rPr>
        <w:t xml:space="preserve"> </w:t>
      </w:r>
      <w:r w:rsidRPr="005149CB">
        <w:rPr>
          <w:rFonts w:ascii="DIN Next LT Pro Light" w:eastAsia="Times New Roman" w:hAnsi="DIN Next LT Pro Light" w:cs="Times New Roman"/>
        </w:rPr>
        <w:t xml:space="preserve">a szpital nie korzystał z zewnętrznych źródeł finansowania w postaci kredytów krótkoterminowych </w:t>
      </w:r>
      <w:r w:rsidR="004D1D24" w:rsidRPr="005149CB">
        <w:rPr>
          <w:rFonts w:ascii="DIN Next LT Pro Light" w:eastAsia="Times New Roman" w:hAnsi="DIN Next LT Pro Light" w:cs="Times New Roman"/>
        </w:rPr>
        <w:t xml:space="preserve">lub </w:t>
      </w:r>
      <w:r w:rsidRPr="005149CB">
        <w:rPr>
          <w:rFonts w:ascii="DIN Next LT Pro Light" w:eastAsia="Times New Roman" w:hAnsi="DIN Next LT Pro Light" w:cs="Times New Roman"/>
        </w:rPr>
        <w:t>pożyczek.</w:t>
      </w:r>
    </w:p>
    <w:p w:rsidR="00C95E25" w:rsidRPr="007E1EA1" w:rsidRDefault="007D4B0E" w:rsidP="00A17DCB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DIN Next LT Pro Light" w:eastAsia="Times New Roman" w:hAnsi="DIN Next LT Pro Light" w:cs="Times New Roman"/>
        </w:rPr>
      </w:pPr>
      <w:r w:rsidRPr="005149CB">
        <w:rPr>
          <w:rFonts w:ascii="DIN Next LT Pro Light" w:eastAsia="Times New Roman" w:hAnsi="DIN Next LT Pro Light"/>
        </w:rPr>
        <w:t>Na dzień 31.12</w:t>
      </w:r>
      <w:r w:rsidRPr="005149CB">
        <w:rPr>
          <w:rFonts w:ascii="DIN Next LT Pro Light" w:hAnsi="DIN Next LT Pro Light"/>
        </w:rPr>
        <w:t>.</w:t>
      </w:r>
      <w:r w:rsidR="00206F2E" w:rsidRPr="005149CB">
        <w:rPr>
          <w:rFonts w:ascii="DIN Next LT Pro Light" w:hAnsi="DIN Next LT Pro Light"/>
        </w:rPr>
        <w:t>202</w:t>
      </w:r>
      <w:r w:rsidR="00FD065C">
        <w:rPr>
          <w:rFonts w:ascii="DIN Next LT Pro Light" w:hAnsi="DIN Next LT Pro Light"/>
        </w:rPr>
        <w:t>4</w:t>
      </w:r>
      <w:r w:rsidR="00206F2E" w:rsidRPr="005149CB">
        <w:rPr>
          <w:rFonts w:ascii="DIN Next LT Pro Light" w:hAnsi="DIN Next LT Pro Light"/>
        </w:rPr>
        <w:t xml:space="preserve"> </w:t>
      </w:r>
      <w:r w:rsidRPr="005149CB">
        <w:rPr>
          <w:rFonts w:ascii="DIN Next LT Pro Light" w:eastAsia="Times New Roman" w:hAnsi="DIN Next LT Pro Light"/>
        </w:rPr>
        <w:t xml:space="preserve">r. Centrum Leczenia Oparzeń </w:t>
      </w:r>
      <w:r w:rsidR="00DF3249" w:rsidRPr="005149CB">
        <w:rPr>
          <w:rFonts w:ascii="DIN Next LT Pro Light" w:eastAsia="Times New Roman" w:hAnsi="DIN Next LT Pro Light" w:cs="Times New Roman"/>
        </w:rPr>
        <w:t xml:space="preserve">im. dr. Stanisława </w:t>
      </w:r>
      <w:proofErr w:type="spellStart"/>
      <w:r w:rsidR="00DF3249" w:rsidRPr="005149CB">
        <w:rPr>
          <w:rFonts w:ascii="DIN Next LT Pro Light" w:eastAsia="Times New Roman" w:hAnsi="DIN Next LT Pro Light" w:cs="Times New Roman"/>
        </w:rPr>
        <w:t>Sakiela</w:t>
      </w:r>
      <w:proofErr w:type="spellEnd"/>
      <w:r w:rsidR="00DF3249" w:rsidRPr="005149CB">
        <w:rPr>
          <w:rFonts w:ascii="DIN Next LT Pro Light" w:eastAsia="Times New Roman" w:hAnsi="DIN Next LT Pro Light" w:cs="Times New Roman"/>
        </w:rPr>
        <w:t xml:space="preserve"> w Siemianowicach Śląskich </w:t>
      </w:r>
      <w:r w:rsidRPr="005149CB">
        <w:rPr>
          <w:rFonts w:ascii="DIN Next LT Pro Light" w:eastAsia="Times New Roman" w:hAnsi="DIN Next LT Pro Light"/>
        </w:rPr>
        <w:t xml:space="preserve">zachowało </w:t>
      </w:r>
      <w:r w:rsidR="004D1D24" w:rsidRPr="005149CB">
        <w:rPr>
          <w:rFonts w:ascii="DIN Next LT Pro Light" w:eastAsia="Times New Roman" w:hAnsi="DIN Next LT Pro Light"/>
        </w:rPr>
        <w:t xml:space="preserve">bezpieczny poziom </w:t>
      </w:r>
      <w:r w:rsidRPr="005149CB">
        <w:rPr>
          <w:rFonts w:ascii="DIN Next LT Pro Light" w:eastAsia="Times New Roman" w:hAnsi="DIN Next LT Pro Light"/>
        </w:rPr>
        <w:t>płynnoś</w:t>
      </w:r>
      <w:r w:rsidR="004D1D24" w:rsidRPr="005149CB">
        <w:rPr>
          <w:rFonts w:ascii="DIN Next LT Pro Light" w:eastAsia="Times New Roman" w:hAnsi="DIN Next LT Pro Light"/>
        </w:rPr>
        <w:t>ci</w:t>
      </w:r>
      <w:r w:rsidRPr="005149CB">
        <w:rPr>
          <w:rFonts w:ascii="DIN Next LT Pro Light" w:eastAsia="Times New Roman" w:hAnsi="DIN Next LT Pro Light"/>
        </w:rPr>
        <w:t xml:space="preserve"> finansow</w:t>
      </w:r>
      <w:r w:rsidR="004D1D24" w:rsidRPr="005149CB">
        <w:rPr>
          <w:rFonts w:ascii="DIN Next LT Pro Light" w:eastAsia="Times New Roman" w:hAnsi="DIN Next LT Pro Light"/>
        </w:rPr>
        <w:t>ej</w:t>
      </w:r>
      <w:r w:rsidRPr="005149CB">
        <w:rPr>
          <w:rFonts w:ascii="DIN Next LT Pro Light" w:eastAsia="Times New Roman" w:hAnsi="DIN Next LT Pro Light"/>
        </w:rPr>
        <w:t>.</w:t>
      </w:r>
    </w:p>
    <w:p w:rsidR="007E1EA1" w:rsidRDefault="007E1EA1" w:rsidP="007E1EA1">
      <w:pPr>
        <w:pStyle w:val="Bezodstpw"/>
        <w:spacing w:line="360" w:lineRule="auto"/>
        <w:jc w:val="both"/>
        <w:rPr>
          <w:rFonts w:ascii="DIN Next LT Pro Light" w:eastAsia="Times New Roman" w:hAnsi="DIN Next LT Pro Light" w:cs="Times New Roman"/>
        </w:rPr>
      </w:pPr>
    </w:p>
    <w:p w:rsidR="00FF0D7A" w:rsidRDefault="00FF0D7A">
      <w:pPr>
        <w:widowControl/>
        <w:suppressAutoHyphens w:val="0"/>
        <w:jc w:val="both"/>
        <w:rPr>
          <w:rFonts w:ascii="DIN Next LT Pro Light" w:hAnsi="DIN Next LT Pro Light"/>
          <w:b/>
          <w:bCs/>
          <w:szCs w:val="24"/>
        </w:rPr>
      </w:pPr>
      <w:bookmarkStart w:id="9" w:name="_Toc483231809"/>
      <w:bookmarkStart w:id="10" w:name="_Toc482003126"/>
    </w:p>
    <w:p w:rsidR="007E1EA1" w:rsidRDefault="007E1EA1">
      <w:pPr>
        <w:widowControl/>
        <w:suppressAutoHyphens w:val="0"/>
        <w:jc w:val="both"/>
        <w:rPr>
          <w:rFonts w:ascii="DIN Next LT Pro Light" w:hAnsi="DIN Next LT Pro Light"/>
          <w:b/>
          <w:bCs/>
          <w:szCs w:val="24"/>
        </w:rPr>
      </w:pPr>
    </w:p>
    <w:p w:rsidR="001F63AD" w:rsidRDefault="001F63AD">
      <w:pPr>
        <w:widowControl/>
        <w:suppressAutoHyphens w:val="0"/>
        <w:jc w:val="both"/>
        <w:rPr>
          <w:rFonts w:ascii="DIN Next LT Pro" w:hAnsi="DIN Next LT Pro"/>
          <w:b/>
          <w:bCs/>
          <w:color w:val="F58220"/>
          <w:szCs w:val="24"/>
        </w:rPr>
      </w:pPr>
      <w:bookmarkStart w:id="11" w:name="_Toc100219131"/>
      <w:r>
        <w:rPr>
          <w:rFonts w:ascii="DIN Next LT Pro" w:hAnsi="DIN Next LT Pro"/>
          <w:color w:val="F58220"/>
          <w:szCs w:val="24"/>
        </w:rPr>
        <w:br w:type="page"/>
      </w:r>
    </w:p>
    <w:p w:rsidR="00E94801" w:rsidRPr="000A29EC" w:rsidRDefault="00911FCE" w:rsidP="00E94801">
      <w:pPr>
        <w:pStyle w:val="Nagwek1"/>
        <w:numPr>
          <w:ilvl w:val="0"/>
          <w:numId w:val="10"/>
        </w:numPr>
        <w:spacing w:line="360" w:lineRule="auto"/>
        <w:ind w:left="284" w:hanging="284"/>
        <w:rPr>
          <w:rFonts w:ascii="DIN Next LT Pro" w:hAnsi="DIN Next LT Pro" w:cs="Times New Roman"/>
          <w:color w:val="F58220"/>
          <w:sz w:val="24"/>
          <w:szCs w:val="24"/>
        </w:rPr>
      </w:pPr>
      <w:r w:rsidRPr="00306870">
        <w:rPr>
          <w:rFonts w:ascii="DIN Next LT Pro" w:hAnsi="DIN Next LT Pro" w:cs="Times New Roman"/>
          <w:color w:val="F58220"/>
          <w:sz w:val="24"/>
          <w:szCs w:val="24"/>
        </w:rPr>
        <w:lastRenderedPageBreak/>
        <w:t>PROGNOZA SYTUACJI EKONOMICZNO – FINANSOWEJ NA KOLEJNE TRZY LATA OBROTOWE</w:t>
      </w:r>
      <w:bookmarkEnd w:id="9"/>
      <w:r w:rsidRPr="00306870">
        <w:rPr>
          <w:rFonts w:ascii="DIN Next LT Pro" w:hAnsi="DIN Next LT Pro" w:cs="Times New Roman"/>
          <w:color w:val="F58220"/>
          <w:sz w:val="24"/>
          <w:szCs w:val="24"/>
        </w:rPr>
        <w:t xml:space="preserve"> </w:t>
      </w:r>
      <w:bookmarkStart w:id="12" w:name="_Toc483231810"/>
      <w:r w:rsidRPr="00306870">
        <w:rPr>
          <w:rFonts w:ascii="DIN Next LT Pro" w:hAnsi="DIN Next LT Pro" w:cs="Times New Roman"/>
          <w:color w:val="F58220"/>
          <w:sz w:val="24"/>
          <w:szCs w:val="24"/>
        </w:rPr>
        <w:t>(</w:t>
      </w:r>
      <w:r w:rsidR="00206F2E" w:rsidRPr="00306870">
        <w:rPr>
          <w:rFonts w:ascii="DIN Next LT Pro" w:hAnsi="DIN Next LT Pro" w:cs="Times New Roman"/>
          <w:color w:val="F58220"/>
          <w:sz w:val="24"/>
          <w:szCs w:val="24"/>
        </w:rPr>
        <w:t>202</w:t>
      </w:r>
      <w:r w:rsidR="00924C0B">
        <w:rPr>
          <w:rFonts w:ascii="DIN Next LT Pro" w:hAnsi="DIN Next LT Pro" w:cs="Times New Roman"/>
          <w:color w:val="F58220"/>
          <w:sz w:val="24"/>
          <w:szCs w:val="24"/>
        </w:rPr>
        <w:t>5</w:t>
      </w:r>
      <w:r w:rsidR="00C633B8" w:rsidRPr="00306870">
        <w:rPr>
          <w:rFonts w:ascii="DIN Next LT Pro" w:hAnsi="DIN Next LT Pro" w:cs="Times New Roman"/>
          <w:color w:val="F58220"/>
          <w:sz w:val="24"/>
          <w:szCs w:val="24"/>
        </w:rPr>
        <w:t xml:space="preserve">, </w:t>
      </w:r>
      <w:r w:rsidR="00206F2E" w:rsidRPr="00306870">
        <w:rPr>
          <w:rFonts w:ascii="DIN Next LT Pro" w:hAnsi="DIN Next LT Pro" w:cs="Times New Roman"/>
          <w:color w:val="F58220"/>
          <w:sz w:val="24"/>
          <w:szCs w:val="24"/>
        </w:rPr>
        <w:t>202</w:t>
      </w:r>
      <w:r w:rsidR="00924C0B">
        <w:rPr>
          <w:rFonts w:ascii="DIN Next LT Pro" w:hAnsi="DIN Next LT Pro" w:cs="Times New Roman"/>
          <w:color w:val="F58220"/>
          <w:sz w:val="24"/>
          <w:szCs w:val="24"/>
        </w:rPr>
        <w:t>6</w:t>
      </w:r>
      <w:r w:rsidR="00C4327A" w:rsidRPr="00306870">
        <w:rPr>
          <w:rFonts w:ascii="DIN Next LT Pro" w:hAnsi="DIN Next LT Pro" w:cs="Times New Roman"/>
          <w:color w:val="F58220"/>
          <w:sz w:val="24"/>
          <w:szCs w:val="24"/>
        </w:rPr>
        <w:t>,</w:t>
      </w:r>
      <w:r w:rsidRPr="00306870">
        <w:rPr>
          <w:rFonts w:ascii="DIN Next LT Pro" w:hAnsi="DIN Next LT Pro" w:cs="Times New Roman"/>
          <w:color w:val="F58220"/>
          <w:sz w:val="24"/>
          <w:szCs w:val="24"/>
        </w:rPr>
        <w:t xml:space="preserve"> </w:t>
      </w:r>
      <w:r w:rsidR="00206F2E" w:rsidRPr="00306870">
        <w:rPr>
          <w:rFonts w:ascii="DIN Next LT Pro" w:hAnsi="DIN Next LT Pro" w:cs="Times New Roman"/>
          <w:color w:val="F58220"/>
          <w:sz w:val="24"/>
          <w:szCs w:val="24"/>
        </w:rPr>
        <w:t>202</w:t>
      </w:r>
      <w:r w:rsidR="00924C0B">
        <w:rPr>
          <w:rFonts w:ascii="DIN Next LT Pro" w:hAnsi="DIN Next LT Pro" w:cs="Times New Roman"/>
          <w:color w:val="F58220"/>
          <w:sz w:val="24"/>
          <w:szCs w:val="24"/>
        </w:rPr>
        <w:t>7</w:t>
      </w:r>
      <w:r w:rsidRPr="00306870">
        <w:rPr>
          <w:rFonts w:ascii="DIN Next LT Pro" w:hAnsi="DIN Next LT Pro" w:cs="Times New Roman"/>
          <w:color w:val="F58220"/>
          <w:sz w:val="24"/>
          <w:szCs w:val="24"/>
        </w:rPr>
        <w:t>) WRAZ Z OPISEM PRZYJĘTYCH ZAŁOŻEŃ</w:t>
      </w:r>
      <w:bookmarkEnd w:id="10"/>
      <w:bookmarkEnd w:id="11"/>
      <w:bookmarkEnd w:id="12"/>
    </w:p>
    <w:p w:rsidR="00157429" w:rsidRDefault="00137AEB" w:rsidP="00D113BC">
      <w:pPr>
        <w:pStyle w:val="Nagwek2"/>
        <w:numPr>
          <w:ilvl w:val="1"/>
          <w:numId w:val="10"/>
        </w:numPr>
        <w:spacing w:line="360" w:lineRule="auto"/>
        <w:ind w:left="284" w:hanging="284"/>
        <w:jc w:val="both"/>
        <w:rPr>
          <w:rFonts w:ascii="DIN Next LT Pro" w:hAnsi="DIN Next LT Pro" w:cs="Times New Roman"/>
          <w:color w:val="005682"/>
          <w:sz w:val="22"/>
          <w:szCs w:val="22"/>
        </w:rPr>
      </w:pPr>
      <w:bookmarkStart w:id="13" w:name="_Toc100219132"/>
      <w:r w:rsidRPr="00C4327A">
        <w:rPr>
          <w:rFonts w:ascii="DIN Next LT Pro" w:hAnsi="DIN Next LT Pro" w:cs="Times New Roman"/>
          <w:color w:val="005682"/>
          <w:sz w:val="22"/>
          <w:szCs w:val="22"/>
        </w:rPr>
        <w:t xml:space="preserve">Opis przyjętych założeń makroekonomicznych i mikroekonomicznych z uwzględnieniem </w:t>
      </w:r>
      <w:r w:rsidR="00C4327A" w:rsidRPr="00C4327A">
        <w:rPr>
          <w:rFonts w:ascii="DIN Next LT Pro" w:hAnsi="DIN Next LT Pro" w:cs="Times New Roman"/>
          <w:color w:val="005682"/>
          <w:sz w:val="22"/>
          <w:szCs w:val="22"/>
        </w:rPr>
        <w:tab/>
      </w:r>
      <w:r w:rsidRPr="00C4327A">
        <w:rPr>
          <w:rFonts w:ascii="DIN Next LT Pro" w:hAnsi="DIN Next LT Pro" w:cs="Times New Roman"/>
          <w:color w:val="005682"/>
          <w:sz w:val="22"/>
          <w:szCs w:val="22"/>
        </w:rPr>
        <w:t xml:space="preserve">ich wpływu na projekcję </w:t>
      </w:r>
      <w:r w:rsidR="00A645D5" w:rsidRPr="00C4327A">
        <w:rPr>
          <w:rFonts w:ascii="DIN Next LT Pro" w:hAnsi="DIN Next LT Pro" w:cs="Times New Roman"/>
          <w:color w:val="005682"/>
          <w:sz w:val="22"/>
          <w:szCs w:val="22"/>
        </w:rPr>
        <w:t xml:space="preserve">dotyczącą </w:t>
      </w:r>
      <w:r w:rsidRPr="00C4327A">
        <w:rPr>
          <w:rFonts w:ascii="DIN Next LT Pro" w:hAnsi="DIN Next LT Pro" w:cs="Times New Roman"/>
          <w:color w:val="005682"/>
          <w:sz w:val="22"/>
          <w:szCs w:val="22"/>
        </w:rPr>
        <w:t>sprawozdań finansowych w latach objętych prognozą</w:t>
      </w:r>
      <w:bookmarkEnd w:id="13"/>
      <w:r w:rsidR="00285369" w:rsidRPr="00C4327A">
        <w:rPr>
          <w:rFonts w:ascii="DIN Next LT Pro" w:hAnsi="DIN Next LT Pro" w:cs="Times New Roman"/>
          <w:color w:val="005682"/>
          <w:sz w:val="22"/>
          <w:szCs w:val="22"/>
        </w:rPr>
        <w:t xml:space="preserve"> </w:t>
      </w:r>
    </w:p>
    <w:p w:rsidR="001F63AD" w:rsidRPr="001F63AD" w:rsidRDefault="001F63AD" w:rsidP="001F63AD"/>
    <w:p w:rsidR="00D113BC" w:rsidRPr="00FF0D7A" w:rsidRDefault="00D113BC" w:rsidP="001F63AD">
      <w:pPr>
        <w:pStyle w:val="Nagwek2"/>
        <w:numPr>
          <w:ilvl w:val="2"/>
          <w:numId w:val="10"/>
        </w:numPr>
        <w:spacing w:before="0" w:line="360" w:lineRule="auto"/>
        <w:jc w:val="both"/>
        <w:rPr>
          <w:rFonts w:ascii="DIN Next LT Pro Light" w:hAnsi="DIN Next LT Pro Light" w:cs="Times New Roman"/>
          <w:color w:val="auto"/>
          <w:sz w:val="22"/>
          <w:szCs w:val="22"/>
        </w:rPr>
      </w:pPr>
      <w:r w:rsidRPr="00FF0D7A">
        <w:rPr>
          <w:rStyle w:val="Pogrubienie"/>
          <w:rFonts w:ascii="DIN Next LT Pro Light" w:hAnsi="DIN Next LT Pro Light" w:cstheme="minorHAnsi"/>
          <w:b/>
          <w:bCs/>
          <w:color w:val="auto"/>
          <w:sz w:val="22"/>
          <w:szCs w:val="22"/>
        </w:rPr>
        <w:t>Założenia makroekonomiczne</w:t>
      </w:r>
    </w:p>
    <w:p w:rsidR="00D113BC" w:rsidRPr="00FF0D7A" w:rsidRDefault="00D113BC" w:rsidP="001F63AD">
      <w:pPr>
        <w:spacing w:line="360" w:lineRule="auto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>W prognozie na lata 2025–2027 uwzględniono następujące czynniki makroekonomiczne:</w:t>
      </w:r>
    </w:p>
    <w:p w:rsidR="00D113BC" w:rsidRPr="00FF0D7A" w:rsidRDefault="00D113BC" w:rsidP="001F63AD">
      <w:pPr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Inflacja</w:t>
      </w:r>
      <w:r w:rsidRPr="00FF0D7A">
        <w:rPr>
          <w:rFonts w:ascii="DIN Next LT Pro Light" w:hAnsi="DIN Next LT Pro Light" w:cstheme="minorHAnsi"/>
          <w:sz w:val="22"/>
          <w:szCs w:val="22"/>
        </w:rPr>
        <w:t>: przyjęto założenie kontynuacji umiarkowanej inflacji, co znajduje bezpośrednie odzwierciedlenie w rosnących kosztach działalności operacyjnej. Przykładowo, koszty:</w:t>
      </w:r>
    </w:p>
    <w:p w:rsidR="00D113BC" w:rsidRPr="00FF0D7A" w:rsidRDefault="00D113BC" w:rsidP="001F63AD">
      <w:pPr>
        <w:widowControl/>
        <w:numPr>
          <w:ilvl w:val="1"/>
          <w:numId w:val="29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 xml:space="preserve">zużycia materiałów i energii wzrosną z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13 258 185 zł (2024)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do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16 750 000 zł (2025)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, co oznacza wzrost o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+26,4% r/r</w:t>
      </w:r>
      <w:r w:rsidR="00C74A67">
        <w:rPr>
          <w:rFonts w:ascii="DIN Next LT Pro Light" w:hAnsi="DIN Next LT Pro Light" w:cstheme="minorHAnsi"/>
          <w:sz w:val="22"/>
          <w:szCs w:val="22"/>
        </w:rPr>
        <w:t>;</w:t>
      </w:r>
    </w:p>
    <w:p w:rsidR="00D113BC" w:rsidRPr="00FF0D7A" w:rsidRDefault="00D113BC" w:rsidP="001F63AD">
      <w:pPr>
        <w:widowControl/>
        <w:numPr>
          <w:ilvl w:val="1"/>
          <w:numId w:val="29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 xml:space="preserve">wynagrodzeń z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40 338 761 zł (2024)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do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49 050 000 zł (2025)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(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+21,6% r/r</w:t>
      </w:r>
      <w:r w:rsidRPr="00FF0D7A">
        <w:rPr>
          <w:rFonts w:ascii="DIN Next LT Pro Light" w:hAnsi="DIN Next LT Pro Light" w:cstheme="minorHAnsi"/>
          <w:sz w:val="22"/>
          <w:szCs w:val="22"/>
        </w:rPr>
        <w:t>)</w:t>
      </w:r>
      <w:r w:rsidR="00C74A67">
        <w:rPr>
          <w:rFonts w:ascii="DIN Next LT Pro Light" w:hAnsi="DIN Next LT Pro Light" w:cstheme="minorHAnsi"/>
          <w:sz w:val="22"/>
          <w:szCs w:val="22"/>
        </w:rPr>
        <w:t>;</w:t>
      </w:r>
    </w:p>
    <w:p w:rsidR="00157429" w:rsidRPr="00FF0D7A" w:rsidRDefault="00D113BC" w:rsidP="001F63AD">
      <w:pPr>
        <w:widowControl/>
        <w:numPr>
          <w:ilvl w:val="1"/>
          <w:numId w:val="29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 xml:space="preserve">usług obcych z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22 177 747 zł (2024)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do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26 925 918 zł (2025)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(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+21,4% r/r</w:t>
      </w:r>
      <w:r w:rsidRPr="00FF0D7A">
        <w:rPr>
          <w:rFonts w:ascii="DIN Next LT Pro Light" w:hAnsi="DIN Next LT Pro Light" w:cstheme="minorHAnsi"/>
          <w:sz w:val="22"/>
          <w:szCs w:val="22"/>
        </w:rPr>
        <w:t>).</w:t>
      </w:r>
    </w:p>
    <w:p w:rsidR="00D113BC" w:rsidRPr="00FF0D7A" w:rsidRDefault="00D113BC" w:rsidP="001F63AD">
      <w:pPr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Presja płacowa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i wzrost kosztów energii i materiałów wynikają z polityki społeczno-gospodarczej oraz sytuacji na rynku pracy w ochronie zdrowia, co stanowi poważne wyzwanie dla sektora publicznego</w:t>
      </w:r>
      <w:r w:rsidR="00C74A67">
        <w:rPr>
          <w:rFonts w:ascii="DIN Next LT Pro Light" w:hAnsi="DIN Next LT Pro Light" w:cstheme="minorHAnsi"/>
          <w:sz w:val="22"/>
          <w:szCs w:val="22"/>
        </w:rPr>
        <w:t>.</w:t>
      </w:r>
    </w:p>
    <w:p w:rsidR="00D113BC" w:rsidRDefault="00D113BC" w:rsidP="001F63AD">
      <w:pPr>
        <w:widowControl/>
        <w:numPr>
          <w:ilvl w:val="0"/>
          <w:numId w:val="2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Polityka zdrowotna państwa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: przewidziano kontynuację finansowania świadczeń przez Narodowy Fundusz Zdrowia. Przychody z NFZ wzrosną z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90 755 211 zł (2024)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do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102 308 418 zł (2025)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(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+12,7% r/r</w:t>
      </w:r>
      <w:r w:rsidRPr="00FF0D7A">
        <w:rPr>
          <w:rFonts w:ascii="DIN Next LT Pro Light" w:hAnsi="DIN Next LT Pro Light" w:cstheme="minorHAnsi"/>
          <w:sz w:val="22"/>
          <w:szCs w:val="22"/>
        </w:rPr>
        <w:t>) – głównie w wyniku wyższej wyceny procedur medycznych oraz planowanego wzrostu liczby świadczeń.</w:t>
      </w:r>
    </w:p>
    <w:p w:rsidR="001F63AD" w:rsidRPr="00FF0D7A" w:rsidRDefault="001F63AD" w:rsidP="001F63AD">
      <w:pPr>
        <w:widowControl/>
        <w:suppressAutoHyphens w:val="0"/>
        <w:spacing w:line="360" w:lineRule="auto"/>
        <w:ind w:left="720"/>
        <w:jc w:val="both"/>
        <w:rPr>
          <w:rFonts w:ascii="DIN Next LT Pro Light" w:hAnsi="DIN Next LT Pro Light" w:cstheme="minorHAnsi"/>
          <w:sz w:val="22"/>
          <w:szCs w:val="22"/>
        </w:rPr>
      </w:pPr>
    </w:p>
    <w:p w:rsidR="00157429" w:rsidRPr="001F63AD" w:rsidRDefault="00157429" w:rsidP="001F63AD">
      <w:pPr>
        <w:pStyle w:val="Nagwek2"/>
        <w:numPr>
          <w:ilvl w:val="2"/>
          <w:numId w:val="10"/>
        </w:numPr>
        <w:spacing w:before="0" w:line="360" w:lineRule="auto"/>
        <w:jc w:val="both"/>
        <w:rPr>
          <w:rStyle w:val="Pogrubienie"/>
          <w:rFonts w:ascii="DIN Next LT Pro Light" w:hAnsi="DIN Next LT Pro Light" w:cstheme="minorHAnsi"/>
          <w:b/>
          <w:bCs/>
          <w:color w:val="auto"/>
          <w:sz w:val="22"/>
          <w:szCs w:val="22"/>
        </w:rPr>
      </w:pPr>
      <w:r w:rsidRPr="001F63AD">
        <w:rPr>
          <w:rStyle w:val="Pogrubienie"/>
          <w:rFonts w:ascii="DIN Next LT Pro Light" w:hAnsi="DIN Next LT Pro Light" w:cstheme="minorHAnsi"/>
          <w:b/>
          <w:bCs/>
          <w:color w:val="auto"/>
          <w:sz w:val="22"/>
          <w:szCs w:val="22"/>
        </w:rPr>
        <w:t>Założenia mikroekonomiczne</w:t>
      </w:r>
    </w:p>
    <w:p w:rsidR="00157429" w:rsidRPr="00FF0D7A" w:rsidRDefault="00157429" w:rsidP="001F63AD">
      <w:pPr>
        <w:spacing w:line="360" w:lineRule="auto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>Uwzględniono następujące czynniki wewnętrzne wpływające na projekcję:</w:t>
      </w:r>
    </w:p>
    <w:p w:rsidR="00157429" w:rsidRPr="00C74A67" w:rsidRDefault="00157429" w:rsidP="001F63AD">
      <w:pPr>
        <w:pStyle w:val="Akapitzlist"/>
        <w:widowControl/>
        <w:numPr>
          <w:ilvl w:val="0"/>
          <w:numId w:val="3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Przychody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: wzrost przychodów z działalności operacyjnej z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91 534 218 zł (2024)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 </w:t>
      </w:r>
      <w:r w:rsidR="00C74A67">
        <w:rPr>
          <w:rFonts w:ascii="DIN Next LT Pro Light" w:hAnsi="DIN Next LT Pro Light" w:cstheme="minorHAnsi"/>
          <w:sz w:val="22"/>
          <w:szCs w:val="22"/>
        </w:rPr>
        <w:br/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do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104 578 418 zł (2025)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, a następnie do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117 100 000 zł (2027)</w:t>
      </w:r>
      <w:r w:rsidRPr="00C74A67">
        <w:rPr>
          <w:rFonts w:ascii="DIN Next LT Pro Light" w:hAnsi="DIN Next LT Pro Light" w:cstheme="minorHAnsi"/>
          <w:sz w:val="22"/>
          <w:szCs w:val="22"/>
        </w:rPr>
        <w:t>. Wzrosty te wynikają m.in. z:</w:t>
      </w:r>
    </w:p>
    <w:p w:rsidR="00157429" w:rsidRPr="00FF0D7A" w:rsidRDefault="00157429" w:rsidP="001F63AD">
      <w:pPr>
        <w:pStyle w:val="Akapitzlist"/>
        <w:widowControl/>
        <w:numPr>
          <w:ilvl w:val="0"/>
          <w:numId w:val="35"/>
        </w:numPr>
        <w:suppressAutoHyphens w:val="0"/>
        <w:spacing w:line="360" w:lineRule="auto"/>
        <w:ind w:left="1418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 xml:space="preserve">rozwoju </w:t>
      </w:r>
      <w:r w:rsidR="00A7533F" w:rsidRPr="00FF0D7A">
        <w:rPr>
          <w:rFonts w:ascii="DIN Next LT Pro Light" w:hAnsi="DIN Next LT Pro Light" w:cstheme="minorHAnsi"/>
          <w:sz w:val="22"/>
          <w:szCs w:val="22"/>
        </w:rPr>
        <w:t xml:space="preserve">działalności operacyjnej </w:t>
      </w:r>
      <w:r w:rsidRPr="00FF0D7A">
        <w:rPr>
          <w:rFonts w:ascii="DIN Next LT Pro Light" w:hAnsi="DIN Next LT Pro Light" w:cstheme="minorHAnsi"/>
          <w:sz w:val="22"/>
          <w:szCs w:val="22"/>
        </w:rPr>
        <w:t>Banku Tkanek i komory hiperbarycznej (HBO)</w:t>
      </w:r>
      <w:r w:rsidR="00FF0D7A">
        <w:rPr>
          <w:rFonts w:ascii="DIN Next LT Pro Light" w:hAnsi="DIN Next LT Pro Light" w:cstheme="minorHAnsi"/>
          <w:sz w:val="22"/>
          <w:szCs w:val="22"/>
        </w:rPr>
        <w:t>;</w:t>
      </w:r>
    </w:p>
    <w:p w:rsidR="00157429" w:rsidRPr="00FF0D7A" w:rsidRDefault="00A7533F" w:rsidP="001F63AD">
      <w:pPr>
        <w:pStyle w:val="Akapitzlist"/>
        <w:widowControl/>
        <w:numPr>
          <w:ilvl w:val="0"/>
          <w:numId w:val="35"/>
        </w:numPr>
        <w:suppressAutoHyphens w:val="0"/>
        <w:spacing w:line="360" w:lineRule="auto"/>
        <w:ind w:left="1418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 xml:space="preserve">zwiększenia świadczeń </w:t>
      </w:r>
      <w:r w:rsidR="00157429" w:rsidRPr="00FF0D7A">
        <w:rPr>
          <w:rFonts w:ascii="DIN Next LT Pro Light" w:hAnsi="DIN Next LT Pro Light" w:cstheme="minorHAnsi"/>
          <w:sz w:val="22"/>
          <w:szCs w:val="22"/>
        </w:rPr>
        <w:t xml:space="preserve">Pracowni Medycyny Nuklearnej 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w ramach współpracy </w:t>
      </w:r>
      <w:r w:rsidR="00157429" w:rsidRPr="00FF0D7A">
        <w:rPr>
          <w:rFonts w:ascii="DIN Next LT Pro Light" w:hAnsi="DIN Next LT Pro Light" w:cstheme="minorHAnsi"/>
          <w:sz w:val="22"/>
          <w:szCs w:val="22"/>
        </w:rPr>
        <w:t>z innymi jednostkami publicznymi</w:t>
      </w:r>
      <w:r w:rsidR="00FF0D7A">
        <w:rPr>
          <w:rFonts w:ascii="DIN Next LT Pro Light" w:hAnsi="DIN Next LT Pro Light" w:cstheme="minorHAnsi"/>
          <w:sz w:val="22"/>
          <w:szCs w:val="22"/>
        </w:rPr>
        <w:t>;</w:t>
      </w:r>
    </w:p>
    <w:p w:rsidR="00157429" w:rsidRPr="00FF0D7A" w:rsidRDefault="00157429" w:rsidP="001F63AD">
      <w:pPr>
        <w:pStyle w:val="Akapitzlist"/>
        <w:widowControl/>
        <w:numPr>
          <w:ilvl w:val="0"/>
          <w:numId w:val="35"/>
        </w:numPr>
        <w:suppressAutoHyphens w:val="0"/>
        <w:spacing w:line="360" w:lineRule="auto"/>
        <w:ind w:left="1418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>uzyskiwania dodatkowych przychodów z projektów badawczo-rozwojowych</w:t>
      </w:r>
      <w:r w:rsidR="00A7533F" w:rsidRPr="00FF0D7A">
        <w:rPr>
          <w:rFonts w:ascii="DIN Next LT Pro Light" w:hAnsi="DIN Next LT Pro Light" w:cstheme="minorHAnsi"/>
          <w:sz w:val="22"/>
          <w:szCs w:val="22"/>
        </w:rPr>
        <w:t xml:space="preserve"> i dotacji zewnętrznych</w:t>
      </w:r>
      <w:r w:rsidR="00FF0D7A">
        <w:rPr>
          <w:rFonts w:ascii="DIN Next LT Pro Light" w:hAnsi="DIN Next LT Pro Light" w:cstheme="minorHAnsi"/>
          <w:sz w:val="22"/>
          <w:szCs w:val="22"/>
        </w:rPr>
        <w:t>.</w:t>
      </w:r>
    </w:p>
    <w:p w:rsidR="00157429" w:rsidRPr="00C74A67" w:rsidRDefault="00157429" w:rsidP="001F63AD">
      <w:pPr>
        <w:pStyle w:val="Akapitzlist"/>
        <w:widowControl/>
        <w:numPr>
          <w:ilvl w:val="0"/>
          <w:numId w:val="3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Inwestycje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: zrealizowane w 2024 r. inwestycje (przebudowa Oddziału Rehabilitacji </w:t>
      </w:r>
      <w:r w:rsidR="00FF0D7A" w:rsidRPr="00C74A67">
        <w:rPr>
          <w:rFonts w:ascii="DIN Next LT Pro Light" w:hAnsi="DIN Next LT Pro Light" w:cstheme="minorHAnsi"/>
          <w:sz w:val="22"/>
          <w:szCs w:val="22"/>
        </w:rPr>
        <w:br/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za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5 868 292 zł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, modernizacja Centralnej Sterylizacji za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4 188 102 zł</w:t>
      </w:r>
      <w:r w:rsidRPr="00C74A67">
        <w:rPr>
          <w:rFonts w:ascii="DIN Next LT Pro Light" w:hAnsi="DIN Next LT Pro Light" w:cstheme="minorHAnsi"/>
          <w:sz w:val="22"/>
          <w:szCs w:val="22"/>
        </w:rPr>
        <w:t>) wpływają na wzrost wartości majątku trwałego oraz przyszłą amortyzację (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 xml:space="preserve">amortyzacja rośnie z 8,3 mln zł </w:t>
      </w:r>
      <w:r w:rsidR="00FF0D7A" w:rsidRPr="00C74A67">
        <w:rPr>
          <w:rStyle w:val="Pogrubienie"/>
          <w:rFonts w:ascii="DIN Next LT Pro Light" w:hAnsi="DIN Next LT Pro Light" w:cstheme="minorHAnsi"/>
          <w:sz w:val="22"/>
          <w:szCs w:val="22"/>
        </w:rPr>
        <w:br/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do 8,7 mln zł w 2027 r.</w:t>
      </w:r>
      <w:r w:rsidRPr="00C74A67">
        <w:rPr>
          <w:rFonts w:ascii="DIN Next LT Pro Light" w:hAnsi="DIN Next LT Pro Light" w:cstheme="minorHAnsi"/>
          <w:sz w:val="22"/>
          <w:szCs w:val="22"/>
        </w:rPr>
        <w:t>).</w:t>
      </w:r>
    </w:p>
    <w:p w:rsidR="00157429" w:rsidRPr="00C74A67" w:rsidRDefault="00157429" w:rsidP="001F63AD">
      <w:pPr>
        <w:pStyle w:val="Akapitzlist"/>
        <w:widowControl/>
        <w:numPr>
          <w:ilvl w:val="0"/>
          <w:numId w:val="3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Zysk netto</w:t>
      </w:r>
      <w:r w:rsidRPr="00C74A67">
        <w:rPr>
          <w:rFonts w:ascii="DIN Next LT Pro Light" w:hAnsi="DIN Next LT Pro Light" w:cstheme="minorHAnsi"/>
          <w:sz w:val="22"/>
          <w:szCs w:val="22"/>
        </w:rPr>
        <w:t>:</w:t>
      </w:r>
    </w:p>
    <w:p w:rsidR="00157429" w:rsidRPr="00FF0D7A" w:rsidRDefault="00157429" w:rsidP="001F63AD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left="1418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 xml:space="preserve">w 2024 r.: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341 526 zł</w:t>
      </w:r>
      <w:r w:rsidR="00FF0D7A">
        <w:rPr>
          <w:rFonts w:ascii="DIN Next LT Pro Light" w:hAnsi="DIN Next LT Pro Light" w:cstheme="minorHAnsi"/>
          <w:sz w:val="22"/>
          <w:szCs w:val="22"/>
        </w:rPr>
        <w:t>;</w:t>
      </w:r>
    </w:p>
    <w:p w:rsidR="00157429" w:rsidRPr="00FF0D7A" w:rsidRDefault="00157429" w:rsidP="001F63AD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left="1418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lastRenderedPageBreak/>
        <w:t xml:space="preserve">prognoza na 2025 r.: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16 500 zł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, 2026: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45 000 zł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, 2027: </w:t>
      </w:r>
      <w:r w:rsidRPr="00FF0D7A">
        <w:rPr>
          <w:rStyle w:val="Pogrubienie"/>
          <w:rFonts w:ascii="DIN Next LT Pro Light" w:hAnsi="DIN Next LT Pro Light" w:cstheme="minorHAnsi"/>
          <w:sz w:val="22"/>
          <w:szCs w:val="22"/>
        </w:rPr>
        <w:t>137 500 zł</w:t>
      </w:r>
      <w:r w:rsidRPr="00FF0D7A">
        <w:rPr>
          <w:rFonts w:ascii="DIN Next LT Pro Light" w:hAnsi="DIN Next LT Pro Light" w:cstheme="minorHAnsi"/>
          <w:sz w:val="22"/>
          <w:szCs w:val="22"/>
        </w:rPr>
        <w:t xml:space="preserve"> – jednostka planuje bilansować działalność z zachowaniem dodatniego wyniku.</w:t>
      </w:r>
    </w:p>
    <w:p w:rsidR="00157429" w:rsidRPr="00C74A67" w:rsidRDefault="00157429" w:rsidP="001F63AD">
      <w:pPr>
        <w:pStyle w:val="Akapitzlist"/>
        <w:widowControl/>
        <w:numPr>
          <w:ilvl w:val="0"/>
          <w:numId w:val="3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Efektywność operacyjna</w:t>
      </w:r>
      <w:r w:rsidRPr="00C74A67">
        <w:rPr>
          <w:rFonts w:ascii="DIN Next LT Pro Light" w:hAnsi="DIN Next LT Pro Light" w:cstheme="minorHAnsi"/>
          <w:sz w:val="22"/>
          <w:szCs w:val="22"/>
        </w:rPr>
        <w:t>: pomimo straty na podstawowej sprzedaży (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–5 592 478 zł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 w 2024), dzięki wpływom z dotacji i amortyzacji środków trwałych finansowanych z projektów inwestycyjnych, wynik netto pozostaje dodatni.</w:t>
      </w:r>
    </w:p>
    <w:p w:rsidR="00157429" w:rsidRPr="00C74A67" w:rsidRDefault="00157429" w:rsidP="001F63AD">
      <w:pPr>
        <w:pStyle w:val="Akapitzlist"/>
        <w:widowControl/>
        <w:numPr>
          <w:ilvl w:val="0"/>
          <w:numId w:val="3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Brak zadłużenia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: na dzień 31.12.2024 CLO nie posiada zobowiązań długoterminowych </w:t>
      </w:r>
      <w:r w:rsidR="00FF0D7A" w:rsidRPr="00C74A67">
        <w:rPr>
          <w:rFonts w:ascii="DIN Next LT Pro Light" w:hAnsi="DIN Next LT Pro Light" w:cstheme="minorHAnsi"/>
          <w:sz w:val="22"/>
          <w:szCs w:val="22"/>
        </w:rPr>
        <w:br/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ani kredytów. Prognozy na lata 2025–2027 również nie zakładają zaciągania zobowiązań zewnętrznych. Wskaźnik zadłużenia aktywów pozostaje na bezpiecznym poziomie – np. w 2025 wynosi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15%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, a wskaźnik wypłacalności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0,40</w:t>
      </w:r>
      <w:r w:rsidRPr="00C74A67">
        <w:rPr>
          <w:rFonts w:ascii="DIN Next LT Pro Light" w:hAnsi="DIN Next LT Pro Light" w:cstheme="minorHAnsi"/>
          <w:sz w:val="22"/>
          <w:szCs w:val="22"/>
        </w:rPr>
        <w:t>.</w:t>
      </w:r>
    </w:p>
    <w:p w:rsidR="00157429" w:rsidRDefault="00157429" w:rsidP="001F63AD">
      <w:pPr>
        <w:pStyle w:val="Akapitzlist"/>
        <w:widowControl/>
        <w:numPr>
          <w:ilvl w:val="0"/>
          <w:numId w:val="38"/>
        </w:numPr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Płynność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: wskaźnik bieżącej płynności prognozowany jest na bardzo dobrym poziomie: </w:t>
      </w:r>
      <w:r w:rsidR="00FF0D7A" w:rsidRPr="00C74A67">
        <w:rPr>
          <w:rFonts w:ascii="DIN Next LT Pro Light" w:hAnsi="DIN Next LT Pro Light" w:cstheme="minorHAnsi"/>
          <w:sz w:val="22"/>
          <w:szCs w:val="22"/>
        </w:rPr>
        <w:br/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2,16 (2025)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,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1,84 (2026)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,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1,87 (2027)</w:t>
      </w:r>
      <w:r w:rsidRPr="00C74A67">
        <w:rPr>
          <w:rFonts w:ascii="DIN Next LT Pro Light" w:hAnsi="DIN Next LT Pro Light" w:cstheme="minorHAnsi"/>
          <w:sz w:val="22"/>
          <w:szCs w:val="22"/>
        </w:rPr>
        <w:t>. Równocześnie, szybka płynność również pozostaje wysoka (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2,12 w 2025 r.</w:t>
      </w:r>
      <w:r w:rsidRPr="00C74A67">
        <w:rPr>
          <w:rFonts w:ascii="DIN Next LT Pro Light" w:hAnsi="DIN Next LT Pro Light" w:cstheme="minorHAnsi"/>
          <w:sz w:val="22"/>
          <w:szCs w:val="22"/>
        </w:rPr>
        <w:t>).</w:t>
      </w:r>
    </w:p>
    <w:p w:rsidR="001F63AD" w:rsidRPr="00C74A67" w:rsidRDefault="001F63AD" w:rsidP="001F63AD">
      <w:pPr>
        <w:pStyle w:val="Akapitzlist"/>
        <w:widowControl/>
        <w:suppressAutoHyphens w:val="0"/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</w:p>
    <w:p w:rsidR="00A7533F" w:rsidRPr="00FF0D7A" w:rsidRDefault="00A7533F" w:rsidP="001F63AD">
      <w:pPr>
        <w:pStyle w:val="Nagwek2"/>
        <w:numPr>
          <w:ilvl w:val="2"/>
          <w:numId w:val="10"/>
        </w:numPr>
        <w:spacing w:before="0" w:line="360" w:lineRule="auto"/>
        <w:jc w:val="both"/>
        <w:rPr>
          <w:rStyle w:val="Pogrubienie"/>
          <w:rFonts w:ascii="DIN Next LT Pro Light" w:hAnsi="DIN Next LT Pro Light" w:cstheme="minorHAnsi"/>
          <w:b/>
          <w:bCs/>
          <w:color w:val="auto"/>
          <w:sz w:val="22"/>
          <w:szCs w:val="22"/>
        </w:rPr>
      </w:pPr>
      <w:r w:rsidRPr="00FF0D7A">
        <w:rPr>
          <w:rStyle w:val="Pogrubienie"/>
          <w:rFonts w:ascii="DIN Next LT Pro Light" w:hAnsi="DIN Next LT Pro Light" w:cstheme="minorHAnsi"/>
          <w:b/>
          <w:bCs/>
          <w:color w:val="auto"/>
          <w:sz w:val="22"/>
          <w:szCs w:val="22"/>
        </w:rPr>
        <w:t>Wpływ przyjętych założeń na projekcję sprawozdań finansowych</w:t>
      </w:r>
    </w:p>
    <w:p w:rsidR="00A7533F" w:rsidRPr="00FF0D7A" w:rsidRDefault="00A7533F" w:rsidP="001F63AD">
      <w:pPr>
        <w:spacing w:line="360" w:lineRule="auto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>Uwzględnione założenia prowadzą do następujących efektów w zakresie planowanych sprawozdań finansowych:</w:t>
      </w:r>
    </w:p>
    <w:p w:rsidR="00A7533F" w:rsidRPr="00C74A67" w:rsidRDefault="00A7533F" w:rsidP="001F63AD">
      <w:pPr>
        <w:pStyle w:val="Akapitzlist"/>
        <w:widowControl/>
        <w:numPr>
          <w:ilvl w:val="0"/>
          <w:numId w:val="37"/>
        </w:numPr>
        <w:suppressAutoHyphens w:val="0"/>
        <w:spacing w:line="360" w:lineRule="auto"/>
        <w:ind w:left="709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Przychody będą rosły średnio o 6–7% rocznie</w:t>
      </w:r>
      <w:r w:rsidRPr="00C74A67">
        <w:rPr>
          <w:rFonts w:ascii="DIN Next LT Pro Light" w:hAnsi="DIN Next LT Pro Light" w:cstheme="minorHAnsi"/>
          <w:sz w:val="22"/>
          <w:szCs w:val="22"/>
        </w:rPr>
        <w:t>, przy jednoczesnym wzroście kosztów operacyjnych, co będzie wymagało bieżącej kontroli kosztów i zwiększenia efektywności działania.</w:t>
      </w:r>
    </w:p>
    <w:p w:rsidR="00A7533F" w:rsidRPr="00C74A67" w:rsidRDefault="00A7533F" w:rsidP="001F63AD">
      <w:pPr>
        <w:pStyle w:val="Akapitzlist"/>
        <w:widowControl/>
        <w:numPr>
          <w:ilvl w:val="0"/>
          <w:numId w:val="37"/>
        </w:numPr>
        <w:suppressAutoHyphens w:val="0"/>
        <w:spacing w:line="360" w:lineRule="auto"/>
        <w:ind w:left="709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Zachowanie płynności finansowej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 oraz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brak zadłużenia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 pozwalają na prowadzenie działalności bez ryzyka utraty wypłacalności.</w:t>
      </w:r>
    </w:p>
    <w:p w:rsidR="00A7533F" w:rsidRPr="00C74A67" w:rsidRDefault="00A7533F" w:rsidP="001F63AD">
      <w:pPr>
        <w:pStyle w:val="Akapitzlist"/>
        <w:widowControl/>
        <w:numPr>
          <w:ilvl w:val="0"/>
          <w:numId w:val="37"/>
        </w:numPr>
        <w:suppressAutoHyphens w:val="0"/>
        <w:spacing w:line="360" w:lineRule="auto"/>
        <w:ind w:left="709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Zysk netto pozostaje dodatni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, jednak jego poziom jest niski, co jest charakterystyczne </w:t>
      </w:r>
      <w:r w:rsidR="00FF0D7A" w:rsidRPr="00C74A67">
        <w:rPr>
          <w:rFonts w:ascii="DIN Next LT Pro Light" w:hAnsi="DIN Next LT Pro Light" w:cstheme="minorHAnsi"/>
          <w:sz w:val="22"/>
          <w:szCs w:val="22"/>
        </w:rPr>
        <w:br/>
      </w:r>
      <w:r w:rsidRPr="00C74A67">
        <w:rPr>
          <w:rFonts w:ascii="DIN Next LT Pro Light" w:hAnsi="DIN Next LT Pro Light" w:cstheme="minorHAnsi"/>
          <w:sz w:val="22"/>
          <w:szCs w:val="22"/>
        </w:rPr>
        <w:t>dla jednostek sektora ochrony zdrowia nieukierunkowanych na maksymalizację zysku.</w:t>
      </w:r>
    </w:p>
    <w:p w:rsidR="00A7533F" w:rsidRDefault="00A7533F" w:rsidP="001F63AD">
      <w:pPr>
        <w:pStyle w:val="Akapitzlist"/>
        <w:widowControl/>
        <w:numPr>
          <w:ilvl w:val="0"/>
          <w:numId w:val="37"/>
        </w:numPr>
        <w:suppressAutoHyphens w:val="0"/>
        <w:spacing w:line="360" w:lineRule="auto"/>
        <w:ind w:left="709"/>
        <w:jc w:val="both"/>
        <w:rPr>
          <w:rFonts w:ascii="DIN Next LT Pro Light" w:hAnsi="DIN Next LT Pro Light" w:cstheme="minorHAnsi"/>
          <w:sz w:val="22"/>
          <w:szCs w:val="22"/>
        </w:rPr>
      </w:pPr>
      <w:r w:rsidRPr="00C74A67">
        <w:rPr>
          <w:rFonts w:ascii="DIN Next LT Pro Light" w:hAnsi="DIN Next LT Pro Light" w:cstheme="minorHAnsi"/>
          <w:sz w:val="22"/>
          <w:szCs w:val="22"/>
        </w:rPr>
        <w:t xml:space="preserve">Utrzymanie </w:t>
      </w:r>
      <w:r w:rsidRPr="00C74A67">
        <w:rPr>
          <w:rStyle w:val="Pogrubienie"/>
          <w:rFonts w:ascii="DIN Next LT Pro Light" w:hAnsi="DIN Next LT Pro Light" w:cstheme="minorHAnsi"/>
          <w:sz w:val="22"/>
          <w:szCs w:val="22"/>
        </w:rPr>
        <w:t>bezpiecznego poziomu wskaźników ekonomiczno-finansowych</w:t>
      </w:r>
      <w:r w:rsidRPr="00C74A67">
        <w:rPr>
          <w:rFonts w:ascii="DIN Next LT Pro Light" w:hAnsi="DIN Next LT Pro Light" w:cstheme="minorHAnsi"/>
          <w:sz w:val="22"/>
          <w:szCs w:val="22"/>
        </w:rPr>
        <w:t xml:space="preserve"> świadczy </w:t>
      </w:r>
      <w:r w:rsidR="00FF0D7A" w:rsidRPr="00C74A67">
        <w:rPr>
          <w:rFonts w:ascii="DIN Next LT Pro Light" w:hAnsi="DIN Next LT Pro Light" w:cstheme="minorHAnsi"/>
          <w:sz w:val="22"/>
          <w:szCs w:val="22"/>
        </w:rPr>
        <w:br/>
      </w:r>
      <w:r w:rsidRPr="00C74A67">
        <w:rPr>
          <w:rFonts w:ascii="DIN Next LT Pro Light" w:hAnsi="DIN Next LT Pro Light" w:cstheme="minorHAnsi"/>
          <w:sz w:val="22"/>
          <w:szCs w:val="22"/>
        </w:rPr>
        <w:t>o racjonalnym zarządzaniu środkami publicznymi.</w:t>
      </w:r>
    </w:p>
    <w:p w:rsidR="001F63AD" w:rsidRPr="00C74A67" w:rsidRDefault="001F63AD" w:rsidP="001F63AD">
      <w:pPr>
        <w:pStyle w:val="Akapitzlist"/>
        <w:widowControl/>
        <w:suppressAutoHyphens w:val="0"/>
        <w:spacing w:line="360" w:lineRule="auto"/>
        <w:ind w:left="709"/>
        <w:jc w:val="both"/>
        <w:rPr>
          <w:rFonts w:ascii="DIN Next LT Pro Light" w:hAnsi="DIN Next LT Pro Light" w:cstheme="minorHAnsi"/>
          <w:sz w:val="22"/>
          <w:szCs w:val="22"/>
        </w:rPr>
      </w:pPr>
    </w:p>
    <w:p w:rsidR="00A7533F" w:rsidRPr="00FF0D7A" w:rsidRDefault="00A7533F" w:rsidP="001F63AD">
      <w:pPr>
        <w:pStyle w:val="Nagwek2"/>
        <w:numPr>
          <w:ilvl w:val="2"/>
          <w:numId w:val="10"/>
        </w:numPr>
        <w:spacing w:before="0" w:line="360" w:lineRule="auto"/>
        <w:jc w:val="both"/>
        <w:rPr>
          <w:rStyle w:val="Pogrubienie"/>
          <w:rFonts w:ascii="DIN Next LT Pro Light" w:hAnsi="DIN Next LT Pro Light" w:cstheme="minorHAnsi"/>
          <w:b/>
          <w:bCs/>
          <w:color w:val="auto"/>
          <w:sz w:val="22"/>
          <w:szCs w:val="22"/>
        </w:rPr>
      </w:pPr>
      <w:r w:rsidRPr="00FF0D7A">
        <w:rPr>
          <w:rStyle w:val="Pogrubienie"/>
          <w:rFonts w:ascii="DIN Next LT Pro Light" w:hAnsi="DIN Next LT Pro Light" w:cstheme="minorHAnsi"/>
          <w:b/>
          <w:bCs/>
          <w:color w:val="auto"/>
          <w:sz w:val="22"/>
          <w:szCs w:val="22"/>
        </w:rPr>
        <w:t>Czynniki ryzyka</w:t>
      </w:r>
    </w:p>
    <w:p w:rsidR="00F1337D" w:rsidRPr="00FF0D7A" w:rsidRDefault="00A7533F" w:rsidP="001F63AD">
      <w:pPr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>Prognoza została opracowana z zachowaniem zasady ostrożności, jednak należy mieć na uwadze potencjalne zagrożenia wpływające na wyniki finansowe, w tym</w:t>
      </w:r>
      <w:r w:rsidR="00F1337D" w:rsidRPr="00FF0D7A">
        <w:rPr>
          <w:rFonts w:ascii="DIN Next LT Pro Light" w:hAnsi="DIN Next LT Pro Light" w:cstheme="minorHAnsi"/>
          <w:sz w:val="22"/>
          <w:szCs w:val="22"/>
        </w:rPr>
        <w:t>:</w:t>
      </w:r>
    </w:p>
    <w:p w:rsidR="00F1337D" w:rsidRPr="00C74A67" w:rsidRDefault="00F1337D" w:rsidP="001F63AD">
      <w:pPr>
        <w:pStyle w:val="Akapitzlist"/>
        <w:widowControl/>
        <w:numPr>
          <w:ilvl w:val="0"/>
          <w:numId w:val="36"/>
        </w:numPr>
        <w:suppressAutoHyphens w:val="0"/>
        <w:spacing w:line="360" w:lineRule="auto"/>
        <w:ind w:left="709"/>
        <w:jc w:val="both"/>
        <w:rPr>
          <w:rStyle w:val="Pogrubienie"/>
          <w:rFonts w:ascii="DIN Next LT Pro Light" w:hAnsi="DIN Next LT Pro Light" w:cstheme="minorHAnsi"/>
          <w:b w:val="0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b w:val="0"/>
          <w:sz w:val="22"/>
          <w:szCs w:val="22"/>
        </w:rPr>
        <w:t>zmienność wycen świadczeń przez NFZ (zmiany w strukturze i poziomie finansowania świadczeń)</w:t>
      </w:r>
      <w:r w:rsidR="00FF0D7A" w:rsidRPr="00C74A67">
        <w:rPr>
          <w:rStyle w:val="Pogrubienie"/>
          <w:rFonts w:ascii="DIN Next LT Pro Light" w:hAnsi="DIN Next LT Pro Light" w:cstheme="minorHAnsi"/>
          <w:b w:val="0"/>
          <w:sz w:val="22"/>
          <w:szCs w:val="22"/>
        </w:rPr>
        <w:t>;</w:t>
      </w:r>
    </w:p>
    <w:p w:rsidR="00F1337D" w:rsidRPr="00C74A67" w:rsidRDefault="00F1337D" w:rsidP="001F63AD">
      <w:pPr>
        <w:pStyle w:val="Akapitzlist"/>
        <w:widowControl/>
        <w:numPr>
          <w:ilvl w:val="0"/>
          <w:numId w:val="36"/>
        </w:numPr>
        <w:suppressAutoHyphens w:val="0"/>
        <w:spacing w:line="360" w:lineRule="auto"/>
        <w:ind w:left="709"/>
        <w:jc w:val="both"/>
        <w:rPr>
          <w:rStyle w:val="Pogrubienie"/>
          <w:rFonts w:ascii="DIN Next LT Pro Light" w:hAnsi="DIN Next LT Pro Light" w:cstheme="minorHAnsi"/>
          <w:b w:val="0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b w:val="0"/>
          <w:sz w:val="22"/>
          <w:szCs w:val="22"/>
        </w:rPr>
        <w:t>wpływ ewentualnych podwyżek minimalnego wynagrodzenia dla personelu medycznego</w:t>
      </w:r>
      <w:r w:rsidR="00FF0D7A" w:rsidRPr="00C74A67">
        <w:rPr>
          <w:rStyle w:val="Pogrubienie"/>
          <w:rFonts w:ascii="DIN Next LT Pro Light" w:hAnsi="DIN Next LT Pro Light" w:cstheme="minorHAnsi"/>
          <w:b w:val="0"/>
          <w:sz w:val="22"/>
          <w:szCs w:val="22"/>
        </w:rPr>
        <w:t xml:space="preserve"> </w:t>
      </w:r>
      <w:r w:rsidR="00FF0D7A" w:rsidRPr="00C74A67">
        <w:rPr>
          <w:rStyle w:val="Pogrubienie"/>
          <w:rFonts w:ascii="DIN Next LT Pro Light" w:hAnsi="DIN Next LT Pro Light" w:cstheme="minorHAnsi"/>
          <w:b w:val="0"/>
          <w:sz w:val="22"/>
          <w:szCs w:val="22"/>
        </w:rPr>
        <w:br/>
      </w:r>
      <w:r w:rsidRPr="00C74A67">
        <w:rPr>
          <w:rStyle w:val="Pogrubienie"/>
          <w:rFonts w:ascii="DIN Next LT Pro Light" w:hAnsi="DIN Next LT Pro Light" w:cstheme="minorHAnsi"/>
          <w:b w:val="0"/>
          <w:sz w:val="22"/>
          <w:szCs w:val="22"/>
        </w:rPr>
        <w:t>oraz skutki ewentualnych regulacji płacowych w sektorze publicznym</w:t>
      </w:r>
      <w:r w:rsidR="00FF0D7A" w:rsidRPr="00C74A67">
        <w:rPr>
          <w:rStyle w:val="Pogrubienie"/>
          <w:rFonts w:ascii="DIN Next LT Pro Light" w:hAnsi="DIN Next LT Pro Light" w:cstheme="minorHAnsi"/>
          <w:b w:val="0"/>
          <w:sz w:val="22"/>
          <w:szCs w:val="22"/>
        </w:rPr>
        <w:t>;</w:t>
      </w:r>
    </w:p>
    <w:p w:rsidR="00A7533F" w:rsidRPr="00C74A67" w:rsidRDefault="00F1337D" w:rsidP="001F63AD">
      <w:pPr>
        <w:pStyle w:val="Akapitzlist"/>
        <w:widowControl/>
        <w:numPr>
          <w:ilvl w:val="0"/>
          <w:numId w:val="36"/>
        </w:numPr>
        <w:suppressAutoHyphens w:val="0"/>
        <w:spacing w:line="360" w:lineRule="auto"/>
        <w:ind w:left="709"/>
        <w:jc w:val="both"/>
        <w:rPr>
          <w:rStyle w:val="Pogrubienie"/>
          <w:rFonts w:ascii="DIN Next LT Pro Light" w:hAnsi="DIN Next LT Pro Light" w:cstheme="minorHAnsi"/>
          <w:b w:val="0"/>
          <w:sz w:val="22"/>
          <w:szCs w:val="22"/>
        </w:rPr>
      </w:pPr>
      <w:r w:rsidRPr="00C74A67">
        <w:rPr>
          <w:rStyle w:val="Pogrubienie"/>
          <w:rFonts w:ascii="DIN Next LT Pro Light" w:hAnsi="DIN Next LT Pro Light" w:cstheme="minorHAnsi"/>
          <w:b w:val="0"/>
          <w:sz w:val="22"/>
          <w:szCs w:val="22"/>
        </w:rPr>
        <w:t>nieprzewidywalność kosztów energii i gazu.</w:t>
      </w:r>
    </w:p>
    <w:p w:rsidR="00F1337D" w:rsidRPr="00FF0D7A" w:rsidRDefault="00F1337D" w:rsidP="001F63AD">
      <w:pPr>
        <w:widowControl/>
        <w:suppressAutoHyphens w:val="0"/>
        <w:spacing w:line="360" w:lineRule="auto"/>
        <w:jc w:val="both"/>
        <w:rPr>
          <w:rStyle w:val="Pogrubienie"/>
          <w:rFonts w:ascii="DIN Next LT Pro Light" w:hAnsi="DIN Next LT Pro Light" w:cstheme="minorHAnsi"/>
          <w:b w:val="0"/>
          <w:sz w:val="22"/>
          <w:szCs w:val="22"/>
        </w:rPr>
      </w:pPr>
    </w:p>
    <w:p w:rsidR="001F63AD" w:rsidRDefault="001F63AD">
      <w:pPr>
        <w:widowControl/>
        <w:suppressAutoHyphens w:val="0"/>
        <w:jc w:val="both"/>
        <w:rPr>
          <w:rFonts w:ascii="DIN Next LT Pro Light" w:hAnsi="DIN Next LT Pro Light" w:cstheme="minorHAnsi"/>
          <w:sz w:val="22"/>
          <w:szCs w:val="22"/>
        </w:rPr>
      </w:pPr>
      <w:r>
        <w:rPr>
          <w:rFonts w:ascii="DIN Next LT Pro Light" w:hAnsi="DIN Next LT Pro Light" w:cstheme="minorHAnsi"/>
          <w:sz w:val="22"/>
          <w:szCs w:val="22"/>
        </w:rPr>
        <w:br w:type="page"/>
      </w:r>
    </w:p>
    <w:p w:rsidR="005D6837" w:rsidRPr="00FF0D7A" w:rsidRDefault="005D6837" w:rsidP="001F63AD">
      <w:pPr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bookmarkStart w:id="14" w:name="_GoBack"/>
      <w:bookmarkEnd w:id="14"/>
      <w:r w:rsidRPr="00FF0D7A">
        <w:rPr>
          <w:rFonts w:ascii="DIN Next LT Pro Light" w:hAnsi="DIN Next LT Pro Light" w:cstheme="minorHAnsi"/>
          <w:sz w:val="22"/>
          <w:szCs w:val="22"/>
        </w:rPr>
        <w:lastRenderedPageBreak/>
        <w:t xml:space="preserve">CLO jako jedyny szpital w Polsce wdrożyło w sposób kompleksowy nowoczesne metody zarządzania Lean Management i Teorię Ograniczeń (TOC), co skutkuje lepszym zarządzaniem zasobami, skracaniem kolejek i efektywniejszym wykorzystaniem infrastruktury medycznej. Założenia Lean </w:t>
      </w:r>
      <w:r w:rsidRPr="00FF0D7A">
        <w:rPr>
          <w:rFonts w:ascii="DIN Next LT Pro Light" w:hAnsi="DIN Next LT Pro Light" w:cstheme="minorHAnsi"/>
          <w:sz w:val="22"/>
          <w:szCs w:val="22"/>
        </w:rPr>
        <w:br/>
        <w:t>i TOC zostały wzięte pod uwagę przy planowaniu przychodów i optymalizacji kosztów.</w:t>
      </w:r>
    </w:p>
    <w:p w:rsidR="005D6837" w:rsidRDefault="005D6837" w:rsidP="001F63AD">
      <w:pPr>
        <w:spacing w:line="360" w:lineRule="auto"/>
        <w:jc w:val="both"/>
        <w:rPr>
          <w:rFonts w:ascii="DIN Next LT Pro Light" w:hAnsi="DIN Next LT Pro Light" w:cstheme="minorHAnsi"/>
          <w:sz w:val="22"/>
          <w:szCs w:val="22"/>
        </w:rPr>
      </w:pPr>
      <w:r w:rsidRPr="00FF0D7A">
        <w:rPr>
          <w:rFonts w:ascii="DIN Next LT Pro Light" w:hAnsi="DIN Next LT Pro Light" w:cstheme="minorHAnsi"/>
          <w:sz w:val="22"/>
          <w:szCs w:val="22"/>
        </w:rPr>
        <w:t>Wszystkie założenia przyjęte w projekcji finansowej oparte zostały na danych historycznych z lat 2023–2024, aktualnym planie finansowym CLO oraz wskaźnikach makroekonomicznych publikowanych przez GUS i NBP.</w:t>
      </w:r>
    </w:p>
    <w:p w:rsidR="00137AEB" w:rsidRPr="00306870" w:rsidRDefault="009321F7" w:rsidP="001A0FE4">
      <w:pPr>
        <w:pStyle w:val="Nagwek2"/>
        <w:rPr>
          <w:rFonts w:ascii="DIN Next LT Pro" w:hAnsi="DIN Next LT Pro" w:cs="Times New Roman"/>
          <w:color w:val="005682"/>
          <w:sz w:val="22"/>
          <w:szCs w:val="22"/>
        </w:rPr>
      </w:pPr>
      <w:bookmarkStart w:id="15" w:name="_Toc100219133"/>
      <w:r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2. </w:t>
      </w:r>
      <w:r w:rsidR="00137AEB"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Prognoza rachunku zysków i strat na lata </w:t>
      </w:r>
      <w:r w:rsidR="007F132E" w:rsidRPr="00306870">
        <w:rPr>
          <w:rFonts w:ascii="DIN Next LT Pro" w:hAnsi="DIN Next LT Pro" w:cs="Times New Roman"/>
          <w:color w:val="005682"/>
          <w:sz w:val="22"/>
          <w:szCs w:val="22"/>
        </w:rPr>
        <w:t>202</w:t>
      </w:r>
      <w:r w:rsidR="00E46949">
        <w:rPr>
          <w:rFonts w:ascii="DIN Next LT Pro" w:hAnsi="DIN Next LT Pro" w:cs="Times New Roman"/>
          <w:color w:val="005682"/>
          <w:sz w:val="22"/>
          <w:szCs w:val="22"/>
        </w:rPr>
        <w:t>5</w:t>
      </w:r>
      <w:r w:rsidR="00696CCD"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, </w:t>
      </w:r>
      <w:r w:rsidR="007F132E" w:rsidRPr="00306870">
        <w:rPr>
          <w:rFonts w:ascii="DIN Next LT Pro" w:hAnsi="DIN Next LT Pro" w:cs="Times New Roman"/>
          <w:color w:val="005682"/>
          <w:sz w:val="22"/>
          <w:szCs w:val="22"/>
        </w:rPr>
        <w:t>202</w:t>
      </w:r>
      <w:r w:rsidR="00E46949">
        <w:rPr>
          <w:rFonts w:ascii="DIN Next LT Pro" w:hAnsi="DIN Next LT Pro" w:cs="Times New Roman"/>
          <w:color w:val="005682"/>
          <w:sz w:val="22"/>
          <w:szCs w:val="22"/>
        </w:rPr>
        <w:t>6</w:t>
      </w:r>
      <w:r w:rsidR="007F132E"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 </w:t>
      </w:r>
      <w:r w:rsidR="00137AEB"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i </w:t>
      </w:r>
      <w:r w:rsidR="007F132E" w:rsidRPr="00306870">
        <w:rPr>
          <w:rFonts w:ascii="DIN Next LT Pro" w:hAnsi="DIN Next LT Pro" w:cs="Times New Roman"/>
          <w:color w:val="005682"/>
          <w:sz w:val="22"/>
          <w:szCs w:val="22"/>
        </w:rPr>
        <w:t>202</w:t>
      </w:r>
      <w:r w:rsidR="00E46949">
        <w:rPr>
          <w:rFonts w:ascii="DIN Next LT Pro" w:hAnsi="DIN Next LT Pro" w:cs="Times New Roman"/>
          <w:color w:val="005682"/>
          <w:sz w:val="22"/>
          <w:szCs w:val="22"/>
        </w:rPr>
        <w:t>7</w:t>
      </w:r>
      <w:r w:rsidR="007F132E"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 </w:t>
      </w:r>
      <w:r w:rsidR="00916CC6" w:rsidRPr="00306870">
        <w:rPr>
          <w:rFonts w:ascii="DIN Next LT Pro" w:hAnsi="DIN Next LT Pro" w:cs="Times New Roman"/>
          <w:color w:val="005682"/>
          <w:sz w:val="22"/>
          <w:szCs w:val="22"/>
        </w:rPr>
        <w:t>(zł</w:t>
      </w:r>
      <w:r w:rsidR="004D1D24">
        <w:rPr>
          <w:rFonts w:ascii="DIN Next LT Pro" w:hAnsi="DIN Next LT Pro" w:cs="Times New Roman"/>
          <w:color w:val="005682"/>
          <w:sz w:val="22"/>
          <w:szCs w:val="22"/>
        </w:rPr>
        <w:t>.</w:t>
      </w:r>
      <w:r w:rsidR="00916CC6" w:rsidRPr="00306870">
        <w:rPr>
          <w:rFonts w:ascii="DIN Next LT Pro" w:hAnsi="DIN Next LT Pro" w:cs="Times New Roman"/>
          <w:color w:val="005682"/>
          <w:sz w:val="22"/>
          <w:szCs w:val="22"/>
        </w:rPr>
        <w:t>)</w:t>
      </w:r>
      <w:bookmarkEnd w:id="15"/>
    </w:p>
    <w:p w:rsidR="000366FE" w:rsidRPr="0097223C" w:rsidRDefault="000366FE" w:rsidP="000366FE">
      <w:pPr>
        <w:rPr>
          <w:rFonts w:ascii="DIN Next LT Pro Light" w:hAnsi="DIN Next LT Pro Light"/>
        </w:rPr>
      </w:pP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703"/>
        <w:gridCol w:w="1417"/>
        <w:gridCol w:w="1418"/>
        <w:gridCol w:w="1417"/>
      </w:tblGrid>
      <w:tr w:rsidR="009F5A33" w:rsidRPr="0097223C" w:rsidTr="00C63D60">
        <w:trPr>
          <w:trHeight w:val="284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5A33" w:rsidRPr="0097223C" w:rsidRDefault="009F5A33" w:rsidP="009F5A3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5A33" w:rsidRPr="0097223C" w:rsidRDefault="009F5A33" w:rsidP="009F5A3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5A33" w:rsidRPr="0097223C" w:rsidRDefault="009F5A33" w:rsidP="0009357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</w:t>
            </w:r>
            <w:r w:rsidR="007F132E"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  <w:r w:rsidR="007F132E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</w:t>
            </w:r>
            <w:r w:rsidR="00E46949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5A33" w:rsidRPr="00A71E9A" w:rsidRDefault="000D5ECA" w:rsidP="009F5A3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202</w:t>
            </w:r>
            <w:r w:rsidR="00E46949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5A33" w:rsidRPr="00A71E9A" w:rsidRDefault="000D5ECA" w:rsidP="009F5A3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202</w:t>
            </w:r>
            <w:r w:rsidR="00E46949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Przychody netto ze sprzedaży i zrównane z nimi, </w:t>
            </w: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104 578 418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112 763 091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117 100 000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A.l</w:t>
            </w:r>
            <w:proofErr w:type="spellEnd"/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Przychody netto ze sprzedaży produktów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104 428</w:t>
            </w:r>
            <w:r w:rsidR="00F164DA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112 613 091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116 950 000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A.I.1.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sprzedanych NFZ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E74CC6" w:rsidRDefault="001D1224" w:rsidP="00E16A87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102 308</w:t>
            </w:r>
            <w:r w:rsidR="00F164DA">
              <w:rPr>
                <w:rFonts w:ascii="DIN Next LT Pro Light" w:hAnsi="DIN Next LT Pro Light"/>
                <w:sz w:val="18"/>
                <w:szCs w:val="18"/>
              </w:rPr>
              <w:t> </w:t>
            </w:r>
            <w:r>
              <w:rPr>
                <w:rFonts w:ascii="DIN Next LT Pro Light" w:hAnsi="DIN Next LT Pro Light"/>
                <w:sz w:val="18"/>
                <w:szCs w:val="18"/>
              </w:rPr>
              <w:t>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E74CC6" w:rsidRDefault="001D1224" w:rsidP="00E16A87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110 493 091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E74CC6" w:rsidRDefault="00F164DA" w:rsidP="00E16A87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114 000 000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A.I.2.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sprzedanych Ministerstwu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2 000</w:t>
            </w:r>
            <w:r w:rsidR="00F164DA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2 000 000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2 500 000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A.I.3.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sprzedanych pracodawcom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A.I.4.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120</w:t>
            </w:r>
            <w:r w:rsidR="00F164DA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120 000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450 000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A.II.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Zmiana stanu produktów (zwiększenie –wartość dodatnia, zmniejszenie –wartość ujemna)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150</w:t>
            </w:r>
            <w:r w:rsidR="00F164DA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150 000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A.III.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Koszty wytworzenia produktów na własne potrzeby jednostki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A.IV.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Przychody netto ze sprzedaży towarów i materiałów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Koszty działalności operacyjnej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111 825 918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120 077 091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F164DA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125 120 000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B.l</w:t>
            </w:r>
            <w:proofErr w:type="spellEnd"/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Amortyzacja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8 100</w:t>
            </w:r>
            <w:r w:rsidR="00F164DA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8 500 000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8 700 000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Zużycie materiałów i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16 750</w:t>
            </w:r>
            <w:r w:rsidR="00EF505E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18 100 000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18 920 000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B.II.1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Materiałów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15 050</w:t>
            </w:r>
            <w:r w:rsidR="00EF505E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16 4</w:t>
            </w:r>
            <w:r w:rsidR="001D1224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17 170 000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B.II.1.a.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leków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6 000</w:t>
            </w:r>
            <w:r w:rsidR="00EF505E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6 500 000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6 750 000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B.II.1.b.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żywności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B.II.1.c.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sprzętu jednorazowego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5 000</w:t>
            </w:r>
            <w:r w:rsidR="00EF505E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5 500 000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5 800 000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B.II.1.d.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odczynników chemicznych i materiałów diagnostycznych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450</w:t>
            </w:r>
            <w:r w:rsidR="00EF505E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600 000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720 000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B.II.1.e.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paliwa (gaz)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1 800</w:t>
            </w:r>
            <w:r w:rsidR="00EF505E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2 000 000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2 100 000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B.II.1.f.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pozostałe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1 800</w:t>
            </w:r>
            <w:r w:rsidR="00EF505E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1 800 000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1 800 000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B.II.2.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Energii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1 700</w:t>
            </w:r>
            <w:r w:rsidR="00EF505E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1 700 000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1 750 000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B.II.2.a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elektrycznej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1 700</w:t>
            </w:r>
            <w:r w:rsidR="00EF505E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1 700</w:t>
            </w:r>
            <w:r w:rsidR="001D1224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1 750 000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B.II.2.b.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cieplnej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F505E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B.III.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Usługi obce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26 925</w:t>
            </w:r>
            <w:r w:rsidR="00EF505E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29 231 091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31 850 000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B.III.1.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remontowe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4 500</w:t>
            </w:r>
            <w:r w:rsidR="005E4E16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4 750 000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5 200 000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B.III.2.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transportowe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500</w:t>
            </w:r>
            <w:r w:rsidR="005E4E16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550 000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650 000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B.III.3.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medyczne obce (umowy cywilno-prawne, prace wykonane przez laboratoria itp.)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18 000</w:t>
            </w:r>
            <w:r w:rsidR="005E4E16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20 000 000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22 000 000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B.III.4.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pozostałe usługi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3 925</w:t>
            </w:r>
            <w:r w:rsidR="005E4E16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3 931 091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4 000 000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B.IV.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Podatki i opłaty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600</w:t>
            </w:r>
            <w:r w:rsidR="005E4E16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6</w:t>
            </w:r>
            <w:r w:rsidR="001D1224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  <w:r w:rsidR="001D1224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650 000</w:t>
            </w:r>
          </w:p>
        </w:tc>
      </w:tr>
      <w:tr w:rsidR="00E16A87" w:rsidRPr="00C74A67" w:rsidTr="00F173EC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C74A67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C74A67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B.V.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C74A67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C74A67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Wynagrodzenia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:rsidR="00E16A87" w:rsidRPr="00C74A67" w:rsidRDefault="001D1224" w:rsidP="00E16A87">
            <w:pPr>
              <w:jc w:val="right"/>
              <w:rPr>
                <w:rFonts w:ascii="DIN Next LT Pro Light" w:hAnsi="DIN Next LT Pro Light"/>
                <w:b/>
                <w:sz w:val="18"/>
                <w:szCs w:val="18"/>
              </w:rPr>
            </w:pPr>
            <w:r w:rsidRPr="00C74A67">
              <w:rPr>
                <w:rFonts w:ascii="DIN Next LT Pro Light" w:hAnsi="DIN Next LT Pro Light"/>
                <w:b/>
                <w:sz w:val="18"/>
                <w:szCs w:val="18"/>
              </w:rPr>
              <w:t>49 050</w:t>
            </w:r>
            <w:r w:rsidR="005E4E16" w:rsidRPr="00C74A67">
              <w:rPr>
                <w:rFonts w:ascii="DIN Next LT Pro Light" w:hAnsi="DIN Next LT Pro Light"/>
                <w:b/>
                <w:sz w:val="18"/>
                <w:szCs w:val="18"/>
              </w:rPr>
              <w:t> </w:t>
            </w:r>
            <w:r w:rsidRPr="00C74A67">
              <w:rPr>
                <w:rFonts w:ascii="DIN Next LT Pro Light" w:hAnsi="DIN Next LT Pro Light"/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:rsidR="00E16A87" w:rsidRPr="00C74A67" w:rsidRDefault="001D1224" w:rsidP="00E16A87">
            <w:pPr>
              <w:jc w:val="right"/>
              <w:rPr>
                <w:rFonts w:ascii="DIN Next LT Pro Light" w:hAnsi="DIN Next LT Pro Light"/>
                <w:b/>
                <w:sz w:val="18"/>
                <w:szCs w:val="18"/>
              </w:rPr>
            </w:pPr>
            <w:r w:rsidRPr="00C74A67">
              <w:rPr>
                <w:rFonts w:ascii="DIN Next LT Pro Light" w:hAnsi="DIN Next LT Pro Light"/>
                <w:b/>
                <w:sz w:val="18"/>
                <w:szCs w:val="18"/>
              </w:rPr>
              <w:t>52 866 000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:rsidR="00E16A87" w:rsidRPr="00C74A67" w:rsidRDefault="005E4E16" w:rsidP="00E16A87">
            <w:pPr>
              <w:jc w:val="right"/>
              <w:rPr>
                <w:rFonts w:ascii="DIN Next LT Pro Light" w:hAnsi="DIN Next LT Pro Light"/>
                <w:b/>
                <w:sz w:val="18"/>
                <w:szCs w:val="18"/>
              </w:rPr>
            </w:pPr>
            <w:r w:rsidRPr="00C74A67">
              <w:rPr>
                <w:rFonts w:ascii="DIN Next LT Pro Light" w:hAnsi="DIN Next LT Pro Light"/>
                <w:b/>
                <w:sz w:val="18"/>
                <w:szCs w:val="18"/>
              </w:rPr>
              <w:t>53 250 000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B.V.1.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wynagrodzenia ze stosunku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48 900</w:t>
            </w:r>
            <w:r w:rsidR="005E4E16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1D122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52 666 000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53 000 000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B.V.2.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wynagrodzenia z umów zleceń i o dzieło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150</w:t>
            </w:r>
            <w:r w:rsidR="005E4E16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200</w:t>
            </w:r>
            <w:r w:rsidR="001D1224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250 000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B.V.3.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0B5A45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0B5A45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wynagrodzenia pozostałe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0B5A45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B.VI.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Ubezpieczenia społeczne i inne świadczenia,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9 900</w:t>
            </w:r>
            <w:r w:rsidR="005E4E16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10 180 000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11 000 000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7 400</w:t>
            </w:r>
            <w:r w:rsidR="005E4E16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7 550 000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8 100 000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900</w:t>
            </w:r>
            <w:r w:rsidR="005E4E16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950 000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1 030 000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 xml:space="preserve"> - składki na Fundusz Emerytur Pomostowych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400</w:t>
            </w:r>
            <w:r w:rsidR="005E4E16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450</w:t>
            </w:r>
            <w:r w:rsidR="003159E9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500 000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B.VII.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Pozostałe koszty rodzajowe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500</w:t>
            </w:r>
            <w:r w:rsidR="005E4E16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600</w:t>
            </w:r>
            <w:r w:rsidR="003159E9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750 000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 xml:space="preserve"> - w tym podróże służbowe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CF73F7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180</w:t>
            </w:r>
            <w:r w:rsidR="005E4E16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CF73F7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200</w:t>
            </w:r>
            <w:r w:rsidR="003159E9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6A87" w:rsidRPr="00CF73F7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250 000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B.VIII.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Wartość sprzedanych towarów i materiałów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Zysk (strata) ze sprzedaży (A–B)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- 7 247</w:t>
            </w:r>
            <w:r w:rsidR="005E4E16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-7 314 000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-8 020 000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Pozostałe przychody operacyjne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7 300</w:t>
            </w:r>
            <w:r w:rsidR="005E4E16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3159E9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7 400 000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5E4E16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8 200 000</w:t>
            </w:r>
          </w:p>
        </w:tc>
      </w:tr>
      <w:tr w:rsidR="00E46949" w:rsidRPr="0097223C" w:rsidTr="00812AA1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949" w:rsidRPr="00CF73F7" w:rsidRDefault="00E46949" w:rsidP="00E46949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proofErr w:type="spellStart"/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D.l</w:t>
            </w:r>
            <w:proofErr w:type="spellEnd"/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949" w:rsidRPr="00CF73F7" w:rsidRDefault="00E46949" w:rsidP="00E46949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Zysk z tytułu rozchodu niefinansowych aktywów trwałych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E46949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E16A87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5E4E16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46949" w:rsidRPr="0097223C" w:rsidTr="00812AA1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949" w:rsidRPr="00CF73F7" w:rsidRDefault="00E46949" w:rsidP="00E46949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D.II.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949" w:rsidRPr="00CF73F7" w:rsidRDefault="00E46949" w:rsidP="00E46949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Dotacje,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E46949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E16A87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5E4E16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46949" w:rsidRPr="0097223C" w:rsidTr="00812AA1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949" w:rsidRPr="00CF73F7" w:rsidRDefault="00E46949" w:rsidP="00E46949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D.III.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949" w:rsidRPr="00CF73F7" w:rsidRDefault="00E46949" w:rsidP="00E46949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Aktualizacja wartości aktywów niefinansowych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E46949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E16A87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5E4E16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46949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949" w:rsidRPr="00CF73F7" w:rsidRDefault="00E46949" w:rsidP="00E46949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D.IV.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949" w:rsidRPr="00CF73F7" w:rsidRDefault="00E46949" w:rsidP="00E46949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CF73F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Inne przychody operacyjne,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E46949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7 </w:t>
            </w:r>
            <w:r w:rsidR="003159E9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</w:t>
            </w:r>
            <w:r w:rsidR="005E4E16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3159E9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7 4</w:t>
            </w:r>
            <w:r w:rsidR="00E16A87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949" w:rsidRPr="00CF73F7" w:rsidRDefault="005E4E16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8 200 000</w:t>
            </w:r>
          </w:p>
        </w:tc>
      </w:tr>
      <w:tr w:rsidR="00931827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827" w:rsidRPr="0097223C" w:rsidRDefault="00931827" w:rsidP="007F180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827" w:rsidRPr="009B18BB" w:rsidRDefault="00931827" w:rsidP="007F180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bezzwrotne środki zagraniczne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827" w:rsidRPr="009B18BB" w:rsidRDefault="004D50B0" w:rsidP="007F180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827" w:rsidRPr="009B18BB" w:rsidDel="00206F2E" w:rsidRDefault="00EC65A8" w:rsidP="007F180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827" w:rsidRPr="009B18BB" w:rsidDel="00206F2E" w:rsidRDefault="00EC65A8" w:rsidP="007F180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7F1800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- równowartość rocznych odpisów amortyzacyjnych środków trwałych oraz wartości niematerialnych i prawnych sfinansowanych z dotacji celowych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7 </w:t>
            </w:r>
            <w:r w:rsidR="003E19CD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3</w:t>
            </w:r>
            <w:r w:rsidR="004D50B0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7 </w:t>
            </w:r>
            <w:r w:rsidR="003E19CD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4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</w:t>
            </w:r>
            <w:r w:rsidR="00DC602E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8 200 000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Pozostałe koszty operacyjne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10</w:t>
            </w:r>
            <w:r w:rsidR="003E19CD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15 000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proofErr w:type="spellStart"/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E.l</w:t>
            </w:r>
            <w:proofErr w:type="spellEnd"/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Strata ze zbycia niefinansowych aktywów trwałych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E.II.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Aktualizacja wartości aktywów niefinansowych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E.III.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Inne koszty operacyjne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10 000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15 000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Zysk (strata) z działalności operacyjnej (C+D–E)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42 500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76 000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165 000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Przychody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80 000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proofErr w:type="spellStart"/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G.l</w:t>
            </w:r>
            <w:proofErr w:type="spellEnd"/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Dywidendy i udziały w zyskach,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G.II.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Odsetki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G.III.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Zysk z tytułu rozchodu aktywów 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G.IV.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Aktualizacja wartości aktywów 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G.V.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60</w:t>
            </w:r>
            <w:r w:rsidR="004D50B0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60 000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80 000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Koszty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2 500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H.I.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Odsetki, w tym: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H.II.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Strata z tytułu rozchodu aktywów 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H.III.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Aktualizacja wartości aktywów finansowych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H.IV.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0B0" w:rsidRPr="009B18BB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 w:rsidRPr="009B18BB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 xml:space="preserve"> 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1 0</w:t>
            </w:r>
            <w:r w:rsidR="004D50B0"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1 000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50B0" w:rsidRPr="009B18BB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2 500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Zysk (strata) brutto (F+G-H)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101 500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DC602E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135 000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237 500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Podatek dochodowy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85</w:t>
            </w:r>
            <w:r w:rsidR="00DC602E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90</w:t>
            </w:r>
            <w:r w:rsidR="00DC602E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100 000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K.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Pozostałe obowiązkowe zmniejszenia zysku (zwiększenia straty)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812AA1">
        <w:trPr>
          <w:trHeight w:val="284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L.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 xml:space="preserve"> Zysk (strata) netto (I-J-K)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16 500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45 000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</w:tcPr>
          <w:p w:rsidR="004D50B0" w:rsidRDefault="003E19C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137 500</w:t>
            </w:r>
          </w:p>
        </w:tc>
      </w:tr>
    </w:tbl>
    <w:p w:rsidR="000366FE" w:rsidRPr="0097223C" w:rsidRDefault="000366FE" w:rsidP="000366FE">
      <w:pPr>
        <w:rPr>
          <w:rFonts w:ascii="DIN Next LT Pro Light" w:hAnsi="DIN Next LT Pro Light"/>
        </w:rPr>
      </w:pPr>
    </w:p>
    <w:p w:rsidR="00137AEB" w:rsidRPr="00306870" w:rsidRDefault="00137AEB" w:rsidP="0030057E">
      <w:pPr>
        <w:pStyle w:val="Nagwek2"/>
        <w:spacing w:line="360" w:lineRule="auto"/>
        <w:jc w:val="both"/>
        <w:rPr>
          <w:rFonts w:ascii="DIN Next LT Pro" w:hAnsi="DIN Next LT Pro" w:cs="Times New Roman"/>
          <w:color w:val="005682"/>
          <w:sz w:val="22"/>
          <w:szCs w:val="22"/>
        </w:rPr>
      </w:pPr>
      <w:r w:rsidRPr="00306870">
        <w:rPr>
          <w:rFonts w:ascii="DIN Next LT Pro" w:hAnsi="DIN Next LT Pro"/>
          <w:color w:val="005682"/>
        </w:rPr>
        <w:t xml:space="preserve"> </w:t>
      </w:r>
      <w:bookmarkStart w:id="16" w:name="_Toc100219134"/>
      <w:r w:rsidR="009321F7"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2.3. </w:t>
      </w:r>
      <w:r w:rsidRPr="00306870">
        <w:rPr>
          <w:rFonts w:ascii="DIN Next LT Pro" w:hAnsi="DIN Next LT Pro" w:cs="Times New Roman"/>
          <w:color w:val="005682"/>
          <w:sz w:val="22"/>
          <w:szCs w:val="22"/>
        </w:rPr>
        <w:t>Prognoza bilansu na lata 20</w:t>
      </w:r>
      <w:r w:rsidR="001B4BFD" w:rsidRPr="00306870">
        <w:rPr>
          <w:rFonts w:ascii="DIN Next LT Pro" w:hAnsi="DIN Next LT Pro" w:cs="Times New Roman"/>
          <w:color w:val="005682"/>
          <w:sz w:val="22"/>
          <w:szCs w:val="22"/>
        </w:rPr>
        <w:t>2</w:t>
      </w:r>
      <w:r w:rsidR="007A2F42">
        <w:rPr>
          <w:rFonts w:ascii="DIN Next LT Pro" w:hAnsi="DIN Next LT Pro" w:cs="Times New Roman"/>
          <w:color w:val="005682"/>
          <w:sz w:val="22"/>
          <w:szCs w:val="22"/>
        </w:rPr>
        <w:t>5</w:t>
      </w:r>
      <w:r w:rsidRPr="00306870">
        <w:rPr>
          <w:rFonts w:ascii="DIN Next LT Pro" w:hAnsi="DIN Next LT Pro" w:cs="Times New Roman"/>
          <w:color w:val="005682"/>
          <w:sz w:val="22"/>
          <w:szCs w:val="22"/>
        </w:rPr>
        <w:t>, 20</w:t>
      </w:r>
      <w:r w:rsidR="003027A5" w:rsidRPr="00306870">
        <w:rPr>
          <w:rFonts w:ascii="DIN Next LT Pro" w:hAnsi="DIN Next LT Pro" w:cs="Times New Roman"/>
          <w:color w:val="005682"/>
          <w:sz w:val="22"/>
          <w:szCs w:val="22"/>
        </w:rPr>
        <w:t>2</w:t>
      </w:r>
      <w:r w:rsidR="007A2F42">
        <w:rPr>
          <w:rFonts w:ascii="DIN Next LT Pro" w:hAnsi="DIN Next LT Pro" w:cs="Times New Roman"/>
          <w:color w:val="005682"/>
          <w:sz w:val="22"/>
          <w:szCs w:val="22"/>
        </w:rPr>
        <w:t>6</w:t>
      </w:r>
      <w:r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 i 20</w:t>
      </w:r>
      <w:r w:rsidR="00015F1C" w:rsidRPr="00306870">
        <w:rPr>
          <w:rFonts w:ascii="DIN Next LT Pro" w:hAnsi="DIN Next LT Pro" w:cs="Times New Roman"/>
          <w:color w:val="005682"/>
          <w:sz w:val="22"/>
          <w:szCs w:val="22"/>
        </w:rPr>
        <w:t>2</w:t>
      </w:r>
      <w:r w:rsidR="007A2F42">
        <w:rPr>
          <w:rFonts w:ascii="DIN Next LT Pro" w:hAnsi="DIN Next LT Pro" w:cs="Times New Roman"/>
          <w:color w:val="005682"/>
          <w:sz w:val="22"/>
          <w:szCs w:val="22"/>
        </w:rPr>
        <w:t>7</w:t>
      </w:r>
      <w:r w:rsidR="00916CC6" w:rsidRPr="00306870">
        <w:rPr>
          <w:rFonts w:ascii="DIN Next LT Pro" w:hAnsi="DIN Next LT Pro" w:cs="Times New Roman"/>
          <w:color w:val="005682"/>
          <w:sz w:val="22"/>
          <w:szCs w:val="22"/>
        </w:rPr>
        <w:t xml:space="preserve"> (zł</w:t>
      </w:r>
      <w:r w:rsidR="004D1D24">
        <w:rPr>
          <w:rFonts w:ascii="DIN Next LT Pro" w:hAnsi="DIN Next LT Pro" w:cs="Times New Roman"/>
          <w:color w:val="005682"/>
          <w:sz w:val="22"/>
          <w:szCs w:val="22"/>
        </w:rPr>
        <w:t>.</w:t>
      </w:r>
      <w:r w:rsidR="00916CC6" w:rsidRPr="00306870">
        <w:rPr>
          <w:rFonts w:ascii="DIN Next LT Pro" w:hAnsi="DIN Next LT Pro" w:cs="Times New Roman"/>
          <w:color w:val="005682"/>
          <w:sz w:val="22"/>
          <w:szCs w:val="22"/>
        </w:rPr>
        <w:t>)</w:t>
      </w:r>
      <w:bookmarkEnd w:id="16"/>
    </w:p>
    <w:p w:rsidR="00722234" w:rsidRPr="00722234" w:rsidRDefault="00722234" w:rsidP="00722234"/>
    <w:tbl>
      <w:tblPr>
        <w:tblW w:w="979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4321"/>
        <w:gridCol w:w="1560"/>
        <w:gridCol w:w="1559"/>
        <w:gridCol w:w="1559"/>
      </w:tblGrid>
      <w:tr w:rsidR="00CB07A3" w:rsidRPr="0097223C" w:rsidTr="00C63D60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B07A3" w:rsidRPr="0097223C" w:rsidRDefault="00CB07A3" w:rsidP="00CB07A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B07A3" w:rsidRPr="0097223C" w:rsidRDefault="00CB07A3" w:rsidP="00CB07A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B07A3" w:rsidRPr="0097223C" w:rsidRDefault="00771C17" w:rsidP="001B4BFD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B07A3" w:rsidRPr="00A71E9A" w:rsidRDefault="00CB07A3" w:rsidP="001B4BFD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206F2E" w:rsidRPr="00A71E9A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02</w:t>
            </w:r>
            <w:r w:rsidR="00771C17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B07A3" w:rsidRPr="00A71E9A" w:rsidRDefault="00CB07A3" w:rsidP="001B4BFD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A71E9A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206F2E" w:rsidRPr="00A71E9A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02</w:t>
            </w:r>
            <w:r w:rsidR="00771C17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CB07A3" w:rsidRPr="0097223C" w:rsidTr="00C63D60">
        <w:trPr>
          <w:trHeight w:val="284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07A3" w:rsidRPr="0097223C" w:rsidRDefault="00CB07A3" w:rsidP="00CB07A3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AKTYWA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Aktywa trwałe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89 419 524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94 564 524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771C17" w:rsidRPr="0097223C" w:rsidRDefault="00F173EC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94 750 000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Wartości niematerialne i prawne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1 455 000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1 500 000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F173EC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2 500 000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Koszty zakończonych prac rozwojowych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Wartość firmy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A.I.3.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wartości niematerialne i prawne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1 455 000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1 500 000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F173EC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2 500 000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Rzeczowe aktywa trwałe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87 964 524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93 064 524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A37E42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92 250 000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trwałe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83 064 524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 xml:space="preserve"> 85 064 524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37E42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87 750 000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A.II.1.a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grunty (w tym prawo użytkowania wieczystego gruntu)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354 524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354 524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37E42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450 000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lastRenderedPageBreak/>
              <w:t>A.II.1.b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budynki, lokale, prawa do lokali  i obiekty inżynierii lądowej i wodnej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70 000 000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72 000 000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37E42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72 500 000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A.II.1.c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urządzenia techniczne i maszyny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37E42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A.II.1.d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transportu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A.II.1.e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środki trwałe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12 000 000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12 000 000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37E42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14 000 000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A.II.2.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trwałe w budowie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4 900 000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8 000 000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37E42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4 500 000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A.III.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Należności długoterminowe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A.IV.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Inwestycje długoterminowe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A.V.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Długoterminowe rozliczenia międzyokresowe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Aktywa obrotowe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771C17" w:rsidRPr="0097223C" w:rsidRDefault="004C295C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3</w:t>
            </w:r>
            <w:r w:rsidR="00771C17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0 110 000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AD75F4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550 000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771C17" w:rsidRPr="0097223C" w:rsidRDefault="008A5853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29 090 000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Zapasy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600</w:t>
            </w:r>
            <w:r w:rsidR="008A5853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8A5853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910 000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Materiały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600</w:t>
            </w:r>
            <w:r w:rsidR="008A5853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900 000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8A5853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910 000</w:t>
            </w:r>
          </w:p>
        </w:tc>
      </w:tr>
      <w:tr w:rsidR="00E16A8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Należności krótkoterminowe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</w:t>
            </w:r>
            <w:r w:rsidR="00E16A87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9 500 000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10 000 000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Należności od jednostek powiązanych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Należności od pozostałych jednostek, w których jednostka posiada zaangażowanie w kapitale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Należności od pozostałych jednostek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B.II.3.a.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dostaw i usług, o okresie spłaty: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9</w:t>
            </w:r>
            <w:r w:rsidR="00E16A87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300</w:t>
            </w:r>
            <w:r w:rsidR="004C44AF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 w:rsidR="00E16A87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9 500 000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10 000 000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B.II.3.a.-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do 12 miesięcy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9 300</w:t>
            </w:r>
            <w:r w:rsidR="004C44AF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9 500 000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10 000 000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Inwestycje krótkoterminowe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20 100</w:t>
            </w:r>
            <w:r w:rsidR="004C44AF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17 000 000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18 000 000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Krótkoterminowe aktywa finansowe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20 100</w:t>
            </w:r>
            <w:r w:rsidR="004C44AF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17 000 000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18 000 000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B.III.1.a.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w jednostkach powiązanych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B.III.1.b.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w pozostałych jednostkach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B.III.1.c.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pieniężne i inne aktywa pieniężne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</w:t>
            </w:r>
            <w:r w:rsidR="000F05D4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100</w:t>
            </w:r>
            <w:r w:rsidR="004C44AF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17 000 000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18 000 000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B.III.1.c.-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środki pieniężne w kasie i na rachunkach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20 100</w:t>
            </w:r>
            <w:r w:rsidR="004C44AF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17 000 000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18 000 000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B.IV.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Krótkoterminowe rozliczenia międzyokresowe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110</w:t>
            </w:r>
            <w:r w:rsidR="004C44AF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0F05D4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sz w:val="18"/>
                <w:szCs w:val="18"/>
                <w:lang w:eastAsia="pl-PL"/>
              </w:rPr>
              <w:t>180 000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Należne wpłaty na kapitał (fundusz) podstawowy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05033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16A87" w:rsidRPr="0097223C" w:rsidTr="007F180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16A87" w:rsidRPr="0097223C" w:rsidRDefault="00E16A87" w:rsidP="00E16A8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Udziały (akcje) własne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E16A87" w:rsidRPr="0097223C" w:rsidRDefault="00E16A87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E16A87" w:rsidRPr="000B5A45" w:rsidRDefault="0005033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E16A87" w:rsidRPr="000B5A45" w:rsidRDefault="004C44AF" w:rsidP="00E16A8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E46949" w:rsidRPr="0097223C" w:rsidTr="007F1800">
        <w:trPr>
          <w:trHeight w:val="284"/>
        </w:trPr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46949" w:rsidRPr="0097223C" w:rsidRDefault="00E46949" w:rsidP="00E46949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RAZEM  AKTYWA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6949" w:rsidRPr="0097223C" w:rsidRDefault="000F05D4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119 529 524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6949" w:rsidRPr="0097223C" w:rsidRDefault="000F05D4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122 114 524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46949" w:rsidRPr="0097223C" w:rsidRDefault="004C44AF" w:rsidP="00E46949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123 840 000</w:t>
            </w:r>
          </w:p>
        </w:tc>
      </w:tr>
    </w:tbl>
    <w:p w:rsidR="000366FE" w:rsidRDefault="000366FE" w:rsidP="000366FE">
      <w:pPr>
        <w:rPr>
          <w:rFonts w:ascii="DIN Next LT Pro Light" w:hAnsi="DIN Next LT Pro Light"/>
        </w:rPr>
      </w:pPr>
    </w:p>
    <w:p w:rsidR="00722234" w:rsidRPr="0097223C" w:rsidRDefault="00722234" w:rsidP="000366FE">
      <w:pPr>
        <w:rPr>
          <w:rFonts w:ascii="DIN Next LT Pro Light" w:hAnsi="DIN Next LT Pro Light"/>
        </w:rPr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4321"/>
        <w:gridCol w:w="1560"/>
        <w:gridCol w:w="1559"/>
        <w:gridCol w:w="1559"/>
      </w:tblGrid>
      <w:tr w:rsidR="001B2E66" w:rsidRPr="0097223C" w:rsidTr="00916CC6">
        <w:trPr>
          <w:trHeight w:val="28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B2E66" w:rsidRPr="0097223C" w:rsidRDefault="001B2E66" w:rsidP="001B2E6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B2E66" w:rsidRPr="0097223C" w:rsidRDefault="001B2E66" w:rsidP="001B2E6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B2E66" w:rsidRPr="0097223C" w:rsidRDefault="001B2E66" w:rsidP="001B2E6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206F2E"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  <w:r w:rsidR="00206F2E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</w:t>
            </w:r>
            <w:r w:rsidR="00DD6709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B2E66" w:rsidRPr="00A71E9A" w:rsidRDefault="00DD6709" w:rsidP="001B2E6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B2E66" w:rsidRPr="00A71E9A" w:rsidRDefault="00DD6709" w:rsidP="001B2E6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2027</w:t>
            </w:r>
          </w:p>
        </w:tc>
      </w:tr>
      <w:tr w:rsidR="001B2E66" w:rsidRPr="0097223C" w:rsidTr="00916CC6">
        <w:trPr>
          <w:trHeight w:val="284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2E66" w:rsidRPr="0097223C" w:rsidRDefault="001B2E66" w:rsidP="001B2E66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PASYWA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Kapitał (fundusz) własny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44 695 992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44 740 992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44 878 492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Kapitał (fundusz) podstawowy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29 843</w:t>
            </w:r>
            <w:r w:rsidR="00801806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29 843</w:t>
            </w:r>
            <w:r w:rsidR="00801806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862584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29 843 660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 xml:space="preserve">A.II. 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Kapitał (fundusz)  zapasowy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14 835 832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14 852 332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14 897 332</w:t>
            </w:r>
          </w:p>
        </w:tc>
      </w:tr>
      <w:tr w:rsidR="004D50B0" w:rsidRPr="0097223C" w:rsidTr="00B016A5">
        <w:trPr>
          <w:trHeight w:val="32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A.III.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Kapitał (fundusz) z aktualizacji wyceny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B016A5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A.IV.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Pozostałe kapitały (fundusze) rezerwowe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B016A5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A.V.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Zysk (strata)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B016A5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A.VI.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Zysk (strata) netto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B016A5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A.VI.1.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Zysk (wielkość dodatnia)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16 500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B016A5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137 500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A.VI.2.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Strata (wielkość ujemna)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B016A5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A.VII.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Odpisy z zysku netto w ciągu roku obrotowego (wielkość ujemna)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B016A5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Zobowiązania i rezerwy na zobowiązania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740EF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77 098 707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77 373 532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78 961 508</w:t>
            </w:r>
          </w:p>
        </w:tc>
      </w:tr>
      <w:tr w:rsidR="004D50B0" w:rsidRPr="0097223C" w:rsidTr="00AB6FD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Rezerwy na zobowiązania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4D50B0" w:rsidRPr="00A1257A" w:rsidRDefault="004D50B0" w:rsidP="004D50B0">
            <w:pPr>
              <w:jc w:val="right"/>
              <w:rPr>
                <w:rFonts w:ascii="DIN Next LT Pro Light" w:hAnsi="DIN Next LT Pro Light"/>
                <w:b/>
                <w:sz w:val="18"/>
                <w:szCs w:val="18"/>
              </w:rPr>
            </w:pPr>
            <w:r>
              <w:rPr>
                <w:rFonts w:ascii="DIN Next LT Pro Light" w:hAnsi="DIN Next LT Pro Light"/>
                <w:b/>
                <w:sz w:val="18"/>
                <w:szCs w:val="18"/>
              </w:rPr>
              <w:t>5 500</w:t>
            </w:r>
            <w:r w:rsidR="00801806">
              <w:rPr>
                <w:rFonts w:ascii="DIN Next LT Pro Light" w:hAnsi="DIN Next LT Pro Light"/>
                <w:b/>
                <w:sz w:val="18"/>
                <w:szCs w:val="18"/>
              </w:rPr>
              <w:t> </w:t>
            </w:r>
            <w:r>
              <w:rPr>
                <w:rFonts w:ascii="DIN Next LT Pro Light" w:hAnsi="DIN Next LT Pro Light"/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4D50B0" w:rsidRPr="007E5E10" w:rsidRDefault="004D50B0" w:rsidP="004D50B0">
            <w:pPr>
              <w:jc w:val="right"/>
              <w:rPr>
                <w:rFonts w:ascii="DIN Next LT Pro Light" w:hAnsi="DIN Next LT Pro Light"/>
                <w:b/>
                <w:sz w:val="18"/>
                <w:szCs w:val="18"/>
              </w:rPr>
            </w:pPr>
            <w:r>
              <w:rPr>
                <w:rFonts w:ascii="DIN Next LT Pro Light" w:hAnsi="DIN Next LT Pro Light"/>
                <w:b/>
                <w:sz w:val="18"/>
                <w:szCs w:val="18"/>
              </w:rPr>
              <w:t>5 800 000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4D50B0" w:rsidRPr="007E5E10" w:rsidRDefault="00801806" w:rsidP="004D50B0">
            <w:pPr>
              <w:jc w:val="right"/>
              <w:rPr>
                <w:rFonts w:ascii="DIN Next LT Pro Light" w:hAnsi="DIN Next LT Pro Light"/>
                <w:b/>
                <w:sz w:val="18"/>
                <w:szCs w:val="18"/>
              </w:rPr>
            </w:pPr>
            <w:r>
              <w:rPr>
                <w:rFonts w:ascii="DIN Next LT Pro Light" w:hAnsi="DIN Next LT Pro Light"/>
                <w:b/>
                <w:sz w:val="18"/>
                <w:szCs w:val="18"/>
              </w:rPr>
              <w:t>6 500 000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Rezerwa z tytułu odroczonego podatku dochodowego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5F75C3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5F75C3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5F75C3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AB6FD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Rezerwa na świadczenia emerytalne i podobne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0B0" w:rsidRPr="005F75C3" w:rsidRDefault="004D50B0" w:rsidP="004D50B0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5 500</w:t>
            </w:r>
            <w:r w:rsidR="00801806">
              <w:rPr>
                <w:rFonts w:ascii="DIN Next LT Pro Light" w:hAnsi="DIN Next LT Pro Light"/>
                <w:sz w:val="18"/>
                <w:szCs w:val="18"/>
              </w:rPr>
              <w:t> </w:t>
            </w:r>
            <w:r>
              <w:rPr>
                <w:rFonts w:ascii="DIN Next LT Pro Light" w:hAnsi="DIN Next LT Pro Light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0B0" w:rsidRPr="005F75C3" w:rsidRDefault="004D50B0" w:rsidP="004D50B0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5 800 000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0B0" w:rsidRPr="005F75C3" w:rsidRDefault="00801806" w:rsidP="004D50B0">
            <w:pPr>
              <w:jc w:val="right"/>
              <w:rPr>
                <w:rFonts w:ascii="DIN Next LT Pro Light" w:hAnsi="DIN Next LT Pro Light"/>
                <w:sz w:val="18"/>
                <w:szCs w:val="18"/>
              </w:rPr>
            </w:pPr>
            <w:r>
              <w:rPr>
                <w:rFonts w:ascii="DIN Next LT Pro Light" w:hAnsi="DIN Next LT Pro Light"/>
                <w:sz w:val="18"/>
                <w:szCs w:val="18"/>
              </w:rPr>
              <w:t>6 500 000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B.I.2.-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długoterminowa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4 200</w:t>
            </w:r>
            <w:r w:rsidR="00801806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4 500 000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5 000 000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B.I.2.-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krótkoterminowa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1 300</w:t>
            </w:r>
            <w:r w:rsidR="00801806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1 300 000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1 500 000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lastRenderedPageBreak/>
              <w:t>B.II.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Zobowiązania długoterminowe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B.III.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Zobowiązania krótkoterminowe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740EFD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12 598 707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13 573 532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13 961 508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Zobowiązania wobec jednostek powiązanych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Zobowiązania wobec pozostałych jednostek, w których jednostka posiada zaangażowanie w kapitale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Zobowiązania wobec pozostałych jednostek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12 431 832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13 326 657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13 765 508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B.III.3.a.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kredyty i pożyczki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B.III.3.b.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emisji dłużnych papierów wartościowych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B.III.3.c.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zobowiązania finansowe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B.III.3.d.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dostaw i usług, o okresie wymagalności: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7 150 000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7 184 825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7 200 000</w:t>
            </w:r>
          </w:p>
        </w:tc>
      </w:tr>
      <w:tr w:rsidR="004D50B0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B.III.3.d.-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do 12 miesięcy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7 150 000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7 184 825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7 200 00</w:t>
            </w:r>
          </w:p>
        </w:tc>
      </w:tr>
      <w:tr w:rsidR="004D50B0" w:rsidRPr="0097223C" w:rsidTr="00FD1F7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B.III.3.e.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zaliczki otrzymane na dostawy i usługi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801806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4D50B0" w:rsidRPr="0097223C" w:rsidTr="00FD1F70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B.III.3.f.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0B0" w:rsidRPr="0097223C" w:rsidRDefault="004D50B0" w:rsidP="004D50B0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zobowiązania wekslowe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4D50B0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0B0" w:rsidRPr="0097223C" w:rsidRDefault="00AF6ADB" w:rsidP="004D50B0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B.III.3.g.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podatków, ceł, ubezpieczeń społecznych i zdrowotnych oraz innych tytułów publicznoprawnych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2 426</w:t>
            </w:r>
            <w:r w:rsidR="00AF6ADB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D31C7A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2 628 500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2 900 000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B.III.3.h.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z tytułu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</w:t>
            </w:r>
            <w:r w:rsidR="00F4343E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353</w:t>
            </w:r>
            <w:r w:rsidR="00AF6ADB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D31C7A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2 926 532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3 000 000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B.III.3.i.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501</w:t>
            </w:r>
            <w:r w:rsidR="00AF6ADB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586</w:t>
            </w:r>
            <w:r w:rsidR="00D31C7A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665 508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Fundusze specjalne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F4343E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166</w:t>
            </w:r>
            <w:r w:rsidR="00AF6ADB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D31C7A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246 875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196 000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B.III.4.-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w tym zakładowy fundusz świadczeń socjalnych (ZFŚS)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F4343E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166</w:t>
            </w:r>
            <w:r w:rsidR="00AF6ADB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D31C7A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246 875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196 000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B.IV.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Rozliczenia międzyokresowe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F4343E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</w:t>
            </w:r>
            <w:r w:rsidR="00771C17"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9 000 000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58 000 000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sz w:val="18"/>
                <w:szCs w:val="18"/>
                <w:lang w:eastAsia="pl-PL"/>
              </w:rPr>
              <w:t>58 500 000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B.IV.1.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Ujemna wartość firmy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B.IV.2.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Inne rozliczenia międzyokresowe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F4343E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</w:t>
            </w:r>
            <w:r w:rsidR="00771C17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9 000 000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58 000 000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58 500 000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B.IV.2.-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długoterminowe, w tym: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- dotacje z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- dotacje z budżetu jednostki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B.IV.2.-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krótkoterminowe, w tym: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206F2E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- dotacje z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1F63AD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i/>
                <w:iCs/>
                <w:sz w:val="18"/>
                <w:szCs w:val="18"/>
                <w:lang w:eastAsia="pl-PL"/>
              </w:rPr>
              <w:t>- dotacje z budżetu jednostki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771C17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771C17" w:rsidRPr="0097223C" w:rsidTr="001F63AD">
        <w:trPr>
          <w:trHeight w:val="284"/>
        </w:trPr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1C17" w:rsidRPr="0097223C" w:rsidRDefault="00771C17" w:rsidP="00771C17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7223C"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RAZEM  PASYWA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1C17" w:rsidRPr="0097223C" w:rsidRDefault="00F4343E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119 529 524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1C17" w:rsidRPr="0097223C" w:rsidRDefault="00D31C7A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122 114 524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71C17" w:rsidRPr="0097223C" w:rsidRDefault="00AF6ADB" w:rsidP="00771C17">
            <w:pPr>
              <w:widowControl/>
              <w:suppressAutoHyphens w:val="0"/>
              <w:jc w:val="right"/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 CE"/>
                <w:b/>
                <w:bCs/>
                <w:i/>
                <w:iCs/>
                <w:sz w:val="18"/>
                <w:szCs w:val="18"/>
                <w:lang w:eastAsia="pl-PL"/>
              </w:rPr>
              <w:t>123 840 000</w:t>
            </w:r>
          </w:p>
        </w:tc>
      </w:tr>
    </w:tbl>
    <w:p w:rsidR="004D1D24" w:rsidRDefault="004D1D24" w:rsidP="004D1D24">
      <w:pPr>
        <w:widowControl/>
        <w:suppressAutoHyphens w:val="0"/>
        <w:spacing w:after="120"/>
        <w:jc w:val="both"/>
        <w:rPr>
          <w:rFonts w:ascii="DIN Next LT Pro Light" w:hAnsi="DIN Next LT Pro Light"/>
          <w:b/>
          <w:color w:val="FF0000"/>
          <w:sz w:val="22"/>
          <w:szCs w:val="22"/>
          <w:highlight w:val="yellow"/>
        </w:rPr>
      </w:pPr>
    </w:p>
    <w:p w:rsidR="003F6753" w:rsidRPr="00722234" w:rsidRDefault="009321F7" w:rsidP="00722234">
      <w:pPr>
        <w:pStyle w:val="Nagwek3"/>
        <w:rPr>
          <w:rFonts w:ascii="DIN Next LT Pro Light" w:hAnsi="DIN Next LT Pro Light" w:cs="Times New Roman"/>
          <w:color w:val="auto"/>
          <w:sz w:val="22"/>
          <w:szCs w:val="22"/>
        </w:rPr>
      </w:pPr>
      <w:bookmarkStart w:id="17" w:name="_Toc100219135"/>
      <w:r w:rsidRPr="00722234">
        <w:rPr>
          <w:rFonts w:ascii="DIN Next LT Pro Light" w:hAnsi="DIN Next LT Pro Light" w:cs="Times New Roman"/>
          <w:color w:val="auto"/>
          <w:sz w:val="22"/>
          <w:szCs w:val="22"/>
        </w:rPr>
        <w:t xml:space="preserve">2.3.1. </w:t>
      </w:r>
      <w:r w:rsidR="00722234" w:rsidRPr="00722234">
        <w:rPr>
          <w:rFonts w:ascii="DIN Next LT Pro Light" w:hAnsi="DIN Next LT Pro Light" w:cs="Times New Roman"/>
          <w:color w:val="auto"/>
          <w:sz w:val="22"/>
          <w:szCs w:val="22"/>
        </w:rPr>
        <w:t xml:space="preserve">  </w:t>
      </w:r>
      <w:r w:rsidR="00137AEB" w:rsidRPr="00722234">
        <w:rPr>
          <w:rFonts w:ascii="DIN Next LT Pro Light" w:hAnsi="DIN Next LT Pro Light" w:cs="Times New Roman"/>
          <w:color w:val="auto"/>
          <w:sz w:val="22"/>
          <w:szCs w:val="22"/>
        </w:rPr>
        <w:t xml:space="preserve">Prognoza kształtowania się wielkości zobowiązań wymagalnych w latach </w:t>
      </w:r>
      <w:r w:rsidR="00206F2E" w:rsidRPr="00722234">
        <w:rPr>
          <w:rFonts w:ascii="DIN Next LT Pro Light" w:hAnsi="DIN Next LT Pro Light" w:cs="Times New Roman"/>
          <w:color w:val="auto"/>
          <w:sz w:val="22"/>
          <w:szCs w:val="22"/>
        </w:rPr>
        <w:t>20</w:t>
      </w:r>
      <w:r w:rsidR="00206F2E">
        <w:rPr>
          <w:rFonts w:ascii="DIN Next LT Pro Light" w:hAnsi="DIN Next LT Pro Light" w:cs="Times New Roman"/>
          <w:color w:val="auto"/>
          <w:sz w:val="22"/>
          <w:szCs w:val="22"/>
        </w:rPr>
        <w:t>2</w:t>
      </w:r>
      <w:r w:rsidR="007A2F42">
        <w:rPr>
          <w:rFonts w:ascii="DIN Next LT Pro Light" w:hAnsi="DIN Next LT Pro Light" w:cs="Times New Roman"/>
          <w:color w:val="auto"/>
          <w:sz w:val="22"/>
          <w:szCs w:val="22"/>
        </w:rPr>
        <w:t>5</w:t>
      </w:r>
      <w:r w:rsidR="00BB16C8" w:rsidRPr="00722234">
        <w:rPr>
          <w:rFonts w:ascii="DIN Next LT Pro Light" w:hAnsi="DIN Next LT Pro Light" w:cs="Times New Roman"/>
          <w:color w:val="auto"/>
          <w:sz w:val="22"/>
          <w:szCs w:val="22"/>
        </w:rPr>
        <w:t xml:space="preserve">, </w:t>
      </w:r>
      <w:r w:rsidR="00206F2E" w:rsidRPr="00722234">
        <w:rPr>
          <w:rFonts w:ascii="DIN Next LT Pro Light" w:hAnsi="DIN Next LT Pro Light" w:cs="Times New Roman"/>
          <w:color w:val="auto"/>
          <w:sz w:val="22"/>
          <w:szCs w:val="22"/>
        </w:rPr>
        <w:t>20</w:t>
      </w:r>
      <w:r w:rsidR="00206F2E">
        <w:rPr>
          <w:rFonts w:ascii="DIN Next LT Pro Light" w:hAnsi="DIN Next LT Pro Light" w:cs="Times New Roman"/>
          <w:color w:val="auto"/>
          <w:sz w:val="22"/>
          <w:szCs w:val="22"/>
        </w:rPr>
        <w:t>2</w:t>
      </w:r>
      <w:r w:rsidR="007A2F42">
        <w:rPr>
          <w:rFonts w:ascii="DIN Next LT Pro Light" w:hAnsi="DIN Next LT Pro Light" w:cs="Times New Roman"/>
          <w:color w:val="auto"/>
          <w:sz w:val="22"/>
          <w:szCs w:val="22"/>
        </w:rPr>
        <w:t>6</w:t>
      </w:r>
      <w:r w:rsidR="00206F2E" w:rsidRPr="00722234">
        <w:rPr>
          <w:rFonts w:ascii="DIN Next LT Pro Light" w:hAnsi="DIN Next LT Pro Light" w:cs="Times New Roman"/>
          <w:color w:val="auto"/>
          <w:sz w:val="22"/>
          <w:szCs w:val="22"/>
        </w:rPr>
        <w:t xml:space="preserve"> </w:t>
      </w:r>
      <w:r w:rsidR="00722234" w:rsidRPr="00722234">
        <w:rPr>
          <w:rFonts w:ascii="DIN Next LT Pro Light" w:hAnsi="DIN Next LT Pro Light" w:cs="Times New Roman"/>
          <w:color w:val="auto"/>
          <w:sz w:val="22"/>
          <w:szCs w:val="22"/>
        </w:rPr>
        <w:br/>
      </w:r>
      <w:r w:rsidR="00722234" w:rsidRPr="00722234">
        <w:rPr>
          <w:rFonts w:ascii="DIN Next LT Pro Light" w:hAnsi="DIN Next LT Pro Light" w:cs="Times New Roman"/>
          <w:color w:val="auto"/>
          <w:sz w:val="22"/>
          <w:szCs w:val="22"/>
        </w:rPr>
        <w:tab/>
      </w:r>
      <w:r w:rsidR="00137AEB" w:rsidRPr="00722234">
        <w:rPr>
          <w:rFonts w:ascii="DIN Next LT Pro Light" w:hAnsi="DIN Next LT Pro Light" w:cs="Times New Roman"/>
          <w:color w:val="auto"/>
          <w:sz w:val="22"/>
          <w:szCs w:val="22"/>
        </w:rPr>
        <w:t xml:space="preserve">i </w:t>
      </w:r>
      <w:r w:rsidR="00206F2E" w:rsidRPr="00722234">
        <w:rPr>
          <w:rFonts w:ascii="DIN Next LT Pro Light" w:hAnsi="DIN Next LT Pro Light" w:cs="Times New Roman"/>
          <w:color w:val="auto"/>
          <w:sz w:val="22"/>
          <w:szCs w:val="22"/>
        </w:rPr>
        <w:t>202</w:t>
      </w:r>
      <w:bookmarkEnd w:id="17"/>
      <w:r w:rsidR="007A2F42">
        <w:rPr>
          <w:rFonts w:ascii="DIN Next LT Pro Light" w:hAnsi="DIN Next LT Pro Light" w:cs="Times New Roman"/>
          <w:color w:val="auto"/>
          <w:sz w:val="22"/>
          <w:szCs w:val="22"/>
        </w:rPr>
        <w:t>7</w:t>
      </w:r>
    </w:p>
    <w:p w:rsidR="00EF0BD4" w:rsidRPr="0097223C" w:rsidRDefault="00EF0BD4" w:rsidP="00EF0BD4">
      <w:pPr>
        <w:rPr>
          <w:rFonts w:ascii="DIN Next LT Pro Light" w:hAnsi="DIN Next LT Pro Light"/>
          <w:sz w:val="22"/>
          <w:szCs w:val="22"/>
        </w:rPr>
      </w:pPr>
    </w:p>
    <w:p w:rsidR="006B1630" w:rsidRPr="0097223C" w:rsidRDefault="00A71E9A" w:rsidP="00E170BE">
      <w:pPr>
        <w:rPr>
          <w:rFonts w:ascii="DIN Next LT Pro Light" w:hAnsi="DIN Next LT Pro Light"/>
          <w:sz w:val="22"/>
          <w:szCs w:val="22"/>
        </w:rPr>
      </w:pPr>
      <w:r>
        <w:rPr>
          <w:rFonts w:ascii="DIN Next LT Pro Light" w:hAnsi="DIN Next LT Pro Light"/>
          <w:sz w:val="22"/>
          <w:szCs w:val="22"/>
        </w:rPr>
        <w:t>Kierownictwo jednostki nie przewiduje powstania zobowiązań wymagalnych w prognozowanych okresach</w:t>
      </w:r>
      <w:r w:rsidR="009D128D">
        <w:rPr>
          <w:rFonts w:ascii="DIN Next LT Pro Light" w:hAnsi="DIN Next LT Pro Light"/>
          <w:sz w:val="22"/>
          <w:szCs w:val="22"/>
        </w:rPr>
        <w:t>. Zobowiązania regulowane są na bieżąco.</w:t>
      </w:r>
    </w:p>
    <w:p w:rsidR="00E170BE" w:rsidRDefault="00E170BE" w:rsidP="00E170BE">
      <w:pPr>
        <w:rPr>
          <w:rFonts w:ascii="DIN Next LT Pro Light" w:hAnsi="DIN Next LT Pro Light"/>
          <w:sz w:val="22"/>
          <w:szCs w:val="22"/>
        </w:rPr>
      </w:pPr>
    </w:p>
    <w:p w:rsidR="001F63AD" w:rsidRDefault="001F63AD" w:rsidP="00E170BE">
      <w:pPr>
        <w:rPr>
          <w:rFonts w:ascii="DIN Next LT Pro Light" w:hAnsi="DIN Next LT Pro Light"/>
          <w:sz w:val="22"/>
          <w:szCs w:val="22"/>
        </w:rPr>
      </w:pPr>
    </w:p>
    <w:p w:rsidR="001F63AD" w:rsidRDefault="001F63AD" w:rsidP="00E170BE">
      <w:pPr>
        <w:rPr>
          <w:rFonts w:ascii="DIN Next LT Pro Light" w:hAnsi="DIN Next LT Pro Light"/>
          <w:sz w:val="22"/>
          <w:szCs w:val="22"/>
        </w:rPr>
      </w:pPr>
    </w:p>
    <w:p w:rsidR="001F63AD" w:rsidRPr="0097223C" w:rsidRDefault="001F63AD" w:rsidP="00E170BE">
      <w:pPr>
        <w:rPr>
          <w:rFonts w:ascii="DIN Next LT Pro Light" w:hAnsi="DIN Next LT Pro Light"/>
          <w:sz w:val="22"/>
          <w:szCs w:val="22"/>
        </w:rPr>
        <w:sectPr w:rsidR="001F63AD" w:rsidRPr="0097223C" w:rsidSect="00ED061B">
          <w:headerReference w:type="first" r:id="rId11"/>
          <w:footerReference w:type="first" r:id="rId12"/>
          <w:pgSz w:w="11906" w:h="16838" w:code="9"/>
          <w:pgMar w:top="1134" w:right="1134" w:bottom="1135" w:left="1134" w:header="567" w:footer="452" w:gutter="0"/>
          <w:cols w:space="708"/>
          <w:titlePg/>
          <w:docGrid w:linePitch="360"/>
        </w:sectPr>
      </w:pPr>
    </w:p>
    <w:p w:rsidR="00A1524D" w:rsidRPr="00722234" w:rsidRDefault="009321F7" w:rsidP="00916CC6">
      <w:pPr>
        <w:pStyle w:val="Nagwek2"/>
        <w:spacing w:line="360" w:lineRule="auto"/>
        <w:jc w:val="both"/>
        <w:rPr>
          <w:rFonts w:ascii="DIN Next LT Pro" w:hAnsi="DIN Next LT Pro" w:cs="Times New Roman"/>
          <w:color w:val="005682"/>
          <w:sz w:val="24"/>
          <w:szCs w:val="24"/>
        </w:rPr>
      </w:pPr>
      <w:bookmarkStart w:id="18" w:name="_Toc483231815"/>
      <w:bookmarkStart w:id="19" w:name="_Toc100219136"/>
      <w:r w:rsidRPr="00722234">
        <w:rPr>
          <w:rFonts w:ascii="DIN Next LT Pro" w:hAnsi="DIN Next LT Pro" w:cs="Times New Roman"/>
          <w:color w:val="005682"/>
          <w:sz w:val="24"/>
          <w:szCs w:val="24"/>
        </w:rPr>
        <w:lastRenderedPageBreak/>
        <w:t xml:space="preserve">2.4. </w:t>
      </w:r>
      <w:r w:rsidR="00722234">
        <w:rPr>
          <w:rFonts w:ascii="DIN Next LT Pro" w:hAnsi="DIN Next LT Pro" w:cs="Times New Roman"/>
          <w:color w:val="005682"/>
          <w:sz w:val="24"/>
          <w:szCs w:val="24"/>
        </w:rPr>
        <w:t xml:space="preserve"> </w:t>
      </w:r>
      <w:r w:rsidR="003D214E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Prognoza wartości wskaźników </w:t>
      </w:r>
      <w:proofErr w:type="spellStart"/>
      <w:r w:rsidR="003D214E" w:rsidRPr="00722234">
        <w:rPr>
          <w:rFonts w:ascii="DIN Next LT Pro" w:hAnsi="DIN Next LT Pro" w:cs="Times New Roman"/>
          <w:color w:val="005682"/>
          <w:sz w:val="24"/>
          <w:szCs w:val="24"/>
        </w:rPr>
        <w:t>ekonomiczno</w:t>
      </w:r>
      <w:proofErr w:type="spellEnd"/>
      <w:r w:rsidR="003D214E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 </w:t>
      </w:r>
      <w:r w:rsidR="00124C32" w:rsidRPr="00722234">
        <w:rPr>
          <w:rFonts w:ascii="DIN Next LT Pro" w:hAnsi="DIN Next LT Pro" w:cs="Times New Roman"/>
          <w:color w:val="005682"/>
          <w:sz w:val="24"/>
          <w:szCs w:val="24"/>
        </w:rPr>
        <w:t>–</w:t>
      </w:r>
      <w:r w:rsidR="003D214E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 finansowych</w:t>
      </w:r>
      <w:r w:rsidR="00A1524D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 wraz z podsumowaniem wyników prognozy wskaźnikowej </w:t>
      </w:r>
      <w:r w:rsidR="00722234">
        <w:rPr>
          <w:rFonts w:ascii="DIN Next LT Pro" w:hAnsi="DIN Next LT Pro" w:cs="Times New Roman"/>
          <w:color w:val="005682"/>
          <w:sz w:val="24"/>
          <w:szCs w:val="24"/>
        </w:rPr>
        <w:br/>
      </w:r>
      <w:r w:rsidR="00722234">
        <w:rPr>
          <w:rFonts w:ascii="DIN Next LT Pro" w:hAnsi="DIN Next LT Pro" w:cs="Times New Roman"/>
          <w:color w:val="005682"/>
          <w:sz w:val="24"/>
          <w:szCs w:val="24"/>
        </w:rPr>
        <w:tab/>
      </w:r>
      <w:r w:rsidR="00A1524D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projekcji sytuacji </w:t>
      </w:r>
      <w:proofErr w:type="spellStart"/>
      <w:r w:rsidR="00A1524D" w:rsidRPr="00722234">
        <w:rPr>
          <w:rFonts w:ascii="DIN Next LT Pro" w:hAnsi="DIN Next LT Pro" w:cs="Times New Roman"/>
          <w:color w:val="005682"/>
          <w:sz w:val="24"/>
          <w:szCs w:val="24"/>
        </w:rPr>
        <w:t>ekonomiczno</w:t>
      </w:r>
      <w:proofErr w:type="spellEnd"/>
      <w:r w:rsidR="00A1524D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 – finansowej na lata </w:t>
      </w:r>
      <w:r w:rsidR="007F132E" w:rsidRPr="00722234">
        <w:rPr>
          <w:rFonts w:ascii="DIN Next LT Pro" w:hAnsi="DIN Next LT Pro" w:cs="Times New Roman"/>
          <w:color w:val="005682"/>
          <w:sz w:val="24"/>
          <w:szCs w:val="24"/>
        </w:rPr>
        <w:t>20</w:t>
      </w:r>
      <w:r w:rsidR="007F132E">
        <w:rPr>
          <w:rFonts w:ascii="DIN Next LT Pro" w:hAnsi="DIN Next LT Pro" w:cs="Times New Roman"/>
          <w:color w:val="005682"/>
          <w:sz w:val="24"/>
          <w:szCs w:val="24"/>
        </w:rPr>
        <w:t>2</w:t>
      </w:r>
      <w:r w:rsidR="007A2F42">
        <w:rPr>
          <w:rFonts w:ascii="DIN Next LT Pro" w:hAnsi="DIN Next LT Pro" w:cs="Times New Roman"/>
          <w:color w:val="005682"/>
          <w:sz w:val="24"/>
          <w:szCs w:val="24"/>
        </w:rPr>
        <w:t>5</w:t>
      </w:r>
      <w:r w:rsidR="00A1524D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, </w:t>
      </w:r>
      <w:r w:rsidR="007F132E" w:rsidRPr="00722234">
        <w:rPr>
          <w:rFonts w:ascii="DIN Next LT Pro" w:hAnsi="DIN Next LT Pro" w:cs="Times New Roman"/>
          <w:color w:val="005682"/>
          <w:sz w:val="24"/>
          <w:szCs w:val="24"/>
        </w:rPr>
        <w:t>202</w:t>
      </w:r>
      <w:r w:rsidR="007A2F42">
        <w:rPr>
          <w:rFonts w:ascii="DIN Next LT Pro" w:hAnsi="DIN Next LT Pro" w:cs="Times New Roman"/>
          <w:color w:val="005682"/>
          <w:sz w:val="24"/>
          <w:szCs w:val="24"/>
        </w:rPr>
        <w:t>6</w:t>
      </w:r>
      <w:r w:rsidR="007F132E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 </w:t>
      </w:r>
      <w:r w:rsidR="00A1524D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i </w:t>
      </w:r>
      <w:bookmarkEnd w:id="18"/>
      <w:r w:rsidR="007F132E" w:rsidRPr="00722234">
        <w:rPr>
          <w:rFonts w:ascii="DIN Next LT Pro" w:hAnsi="DIN Next LT Pro" w:cs="Times New Roman"/>
          <w:color w:val="005682"/>
          <w:sz w:val="24"/>
          <w:szCs w:val="24"/>
        </w:rPr>
        <w:t>202</w:t>
      </w:r>
      <w:bookmarkEnd w:id="19"/>
      <w:r w:rsidR="007A2F42">
        <w:rPr>
          <w:rFonts w:ascii="DIN Next LT Pro" w:hAnsi="DIN Next LT Pro" w:cs="Times New Roman"/>
          <w:color w:val="005682"/>
          <w:sz w:val="24"/>
          <w:szCs w:val="24"/>
        </w:rPr>
        <w:t>7</w:t>
      </w:r>
    </w:p>
    <w:p w:rsidR="001B13C1" w:rsidRPr="0097223C" w:rsidRDefault="001B13C1" w:rsidP="001B13C1">
      <w:pPr>
        <w:rPr>
          <w:rFonts w:ascii="DIN Next LT Pro Light" w:hAnsi="DIN Next LT Pro Light"/>
          <w:sz w:val="8"/>
          <w:szCs w:val="8"/>
        </w:rPr>
      </w:pPr>
    </w:p>
    <w:p w:rsidR="001B13C1" w:rsidRPr="000813DF" w:rsidRDefault="001B13C1" w:rsidP="00916CC6">
      <w:pPr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97223C">
        <w:rPr>
          <w:rFonts w:ascii="DIN Next LT Pro Light" w:eastAsia="Times New Roman" w:hAnsi="DIN Next LT Pro Light" w:cs="Arial"/>
          <w:b/>
          <w:bCs/>
          <w:sz w:val="22"/>
          <w:szCs w:val="22"/>
          <w:lang w:eastAsia="pl-PL"/>
        </w:rPr>
        <w:t>T</w:t>
      </w:r>
      <w:r w:rsidRPr="000813DF">
        <w:rPr>
          <w:rFonts w:ascii="DIN Next LT Pro Light" w:eastAsia="Times New Roman" w:hAnsi="DIN Next LT Pro Light" w:cs="Arial"/>
          <w:b/>
          <w:bCs/>
          <w:sz w:val="22"/>
          <w:szCs w:val="22"/>
          <w:lang w:eastAsia="pl-PL"/>
        </w:rPr>
        <w:t>ABELA PODSUMOWUJĄCA WYNIKI OCENY SYTUACJI EKONOMICZNO-FINANSOWEJ</w:t>
      </w:r>
    </w:p>
    <w:tbl>
      <w:tblPr>
        <w:tblpPr w:leftFromText="141" w:rightFromText="141" w:vertAnchor="text" w:tblpY="1"/>
        <w:tblOverlap w:val="never"/>
        <w:tblW w:w="13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47"/>
        <w:gridCol w:w="3822"/>
        <w:gridCol w:w="1152"/>
        <w:gridCol w:w="1540"/>
        <w:gridCol w:w="1520"/>
        <w:gridCol w:w="1300"/>
        <w:gridCol w:w="1291"/>
        <w:gridCol w:w="1569"/>
      </w:tblGrid>
      <w:tr w:rsidR="001B13C1" w:rsidRPr="000813DF" w:rsidTr="00E203F1">
        <w:trPr>
          <w:trHeight w:val="330"/>
        </w:trPr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Grupa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Wskaźniki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1B13C1" w:rsidRPr="000813DF" w:rsidRDefault="007F132E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202</w:t>
            </w:r>
            <w:r w:rsidR="007A2F42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1B13C1" w:rsidRPr="000813DF" w:rsidRDefault="007A2F42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1B13C1" w:rsidRPr="000813DF" w:rsidRDefault="007A2F42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2027</w:t>
            </w:r>
          </w:p>
        </w:tc>
      </w:tr>
      <w:tr w:rsidR="00E37E53" w:rsidRPr="000813DF" w:rsidTr="00E203F1">
        <w:trPr>
          <w:trHeight w:val="540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Ilość punktów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Ilość punktów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Ilość punktów</w:t>
            </w:r>
          </w:p>
        </w:tc>
      </w:tr>
      <w:tr w:rsidR="000813DF" w:rsidRPr="000813DF" w:rsidTr="007A2F42">
        <w:trPr>
          <w:trHeight w:val="424"/>
        </w:trPr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I. WSKAŹNIKI ZYSKOWNOŚCI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Wskaźnik zyskowności  netto  (%)   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0,01%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0,04%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3DF" w:rsidRPr="000813DF" w:rsidRDefault="001A2C9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0,11%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1A2C9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</w:tr>
      <w:tr w:rsidR="000813DF" w:rsidRPr="000813DF" w:rsidTr="007A2F42">
        <w:trPr>
          <w:trHeight w:val="559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Wskaźnik zyskowności działalności operacyjnej (%)         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0,04%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0,06%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1A2C9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0,13%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1A2C9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</w:tr>
      <w:tr w:rsidR="000813DF" w:rsidRPr="000813DF" w:rsidTr="007A2F42">
        <w:trPr>
          <w:trHeight w:val="411"/>
        </w:trPr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Wskaźnik zyskowność aktywów (%)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0,01%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0,04%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EA0A86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3DF" w:rsidRPr="000813DF" w:rsidRDefault="001A2C9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0,11%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1A2C9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</w:tr>
      <w:tr w:rsidR="001B13C1" w:rsidRPr="000813DF" w:rsidTr="00E203F1">
        <w:trPr>
          <w:trHeight w:val="315"/>
        </w:trPr>
        <w:tc>
          <w:tcPr>
            <w:tcW w:w="554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EA0A86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9</w:t>
            </w:r>
            <w:r w:rsidR="00F65B46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 xml:space="preserve">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EA0A86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1A2C99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0813DF" w:rsidRPr="000813DF" w:rsidTr="00E203F1">
        <w:trPr>
          <w:trHeight w:val="12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813DF" w:rsidRPr="000813DF" w:rsidTr="007B5FAA">
        <w:trPr>
          <w:trHeight w:val="397"/>
        </w:trPr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II. WSKAŹNIKI PŁYNNOŚCI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Wskaźnik bieżącej płynności                                        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57664C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2,16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1,8</w:t>
            </w:r>
            <w:r w:rsidR="0057664C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F56BE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1,87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F56BE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12</w:t>
            </w:r>
          </w:p>
        </w:tc>
      </w:tr>
      <w:tr w:rsidR="000813DF" w:rsidRPr="000813DF" w:rsidTr="007B5FAA">
        <w:trPr>
          <w:trHeight w:val="402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Wskaźnik szybkiej płynności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57664C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2,12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1,7</w:t>
            </w:r>
            <w:r w:rsidR="0057664C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F56BE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1,81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F56BE9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13</w:t>
            </w:r>
          </w:p>
        </w:tc>
      </w:tr>
      <w:tr w:rsidR="00E37E53" w:rsidRPr="000813DF" w:rsidTr="00E203F1">
        <w:trPr>
          <w:trHeight w:val="360"/>
        </w:trPr>
        <w:tc>
          <w:tcPr>
            <w:tcW w:w="55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BB050E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BB050E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F56BE9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</w:tr>
      <w:tr w:rsidR="000813DF" w:rsidRPr="000813DF" w:rsidTr="00E203F1">
        <w:trPr>
          <w:trHeight w:val="12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 </w:t>
            </w:r>
          </w:p>
        </w:tc>
      </w:tr>
      <w:tr w:rsidR="000813DF" w:rsidRPr="000813DF" w:rsidTr="007B5FAA">
        <w:trPr>
          <w:trHeight w:val="423"/>
        </w:trPr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III. WSKAŹNIKI EFEKTYWNOŚCI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Wskaźnik rotacji należności (w dniach)                        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32665D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32665D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8737CB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8737CB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</w:tr>
      <w:tr w:rsidR="000813DF" w:rsidRPr="000813DF" w:rsidTr="007B5FAA">
        <w:trPr>
          <w:trHeight w:val="396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Wskaźnik rotacji zobowiązań (w dniach)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32665D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2</w:t>
            </w:r>
            <w:r w:rsidR="0032665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8737CB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8737CB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7</w:t>
            </w:r>
          </w:p>
        </w:tc>
      </w:tr>
      <w:tr w:rsidR="00E37E53" w:rsidRPr="000813DF" w:rsidTr="00E203F1">
        <w:trPr>
          <w:trHeight w:val="390"/>
        </w:trPr>
        <w:tc>
          <w:tcPr>
            <w:tcW w:w="55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BB050E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BB050E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8737CB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0813DF" w:rsidRPr="000813DF" w:rsidTr="00E203F1">
        <w:trPr>
          <w:trHeight w:val="16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813DF" w:rsidRPr="000813DF" w:rsidTr="007B5FAA">
        <w:trPr>
          <w:trHeight w:val="383"/>
        </w:trPr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IV. WSKAŹNIKI ZADŁUŻENIA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 xml:space="preserve">Wskaźnik zadłużenia aktywów (%)                       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</w:t>
            </w:r>
            <w:r w:rsidR="0032665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5</w:t>
            </w: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16%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8737CB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17%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8737CB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10</w:t>
            </w:r>
          </w:p>
        </w:tc>
      </w:tr>
      <w:tr w:rsidR="000813DF" w:rsidRPr="000813DF" w:rsidTr="007B5FAA">
        <w:trPr>
          <w:trHeight w:val="261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Wskaźnik wypłacalności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0,4</w:t>
            </w:r>
            <w:r w:rsidR="0032665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7" w:rsidRPr="000813DF" w:rsidRDefault="00BB050E" w:rsidP="000E59B7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0,4</w:t>
            </w:r>
            <w:r w:rsidR="0032665D"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13DF" w:rsidRPr="000813DF" w:rsidRDefault="00BB050E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DF" w:rsidRPr="000813DF" w:rsidRDefault="008737CB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0,46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13DF" w:rsidRPr="000813DF" w:rsidRDefault="008737CB" w:rsidP="000813DF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  <w:t>10</w:t>
            </w:r>
          </w:p>
        </w:tc>
      </w:tr>
      <w:tr w:rsidR="00E37E53" w:rsidRPr="000813DF" w:rsidTr="00E203F1">
        <w:trPr>
          <w:trHeight w:val="540"/>
        </w:trPr>
        <w:tc>
          <w:tcPr>
            <w:tcW w:w="55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BB050E" w:rsidP="00A17C30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BB050E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B13C1" w:rsidRPr="000813DF" w:rsidRDefault="008737CB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</w:tr>
      <w:tr w:rsidR="001B13C1" w:rsidRPr="000813DF" w:rsidTr="00E203F1">
        <w:trPr>
          <w:trHeight w:val="12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C1" w:rsidRPr="000813DF" w:rsidRDefault="001B13C1" w:rsidP="00E203F1">
            <w:pPr>
              <w:widowControl/>
              <w:suppressAutoHyphens w:val="0"/>
              <w:rPr>
                <w:rFonts w:ascii="DIN Next LT Pro Light" w:eastAsia="Times New Roman" w:hAnsi="DIN Next LT Pro Light" w:cs="Arial"/>
                <w:sz w:val="18"/>
                <w:szCs w:val="18"/>
                <w:lang w:eastAsia="pl-PL"/>
              </w:rPr>
            </w:pPr>
          </w:p>
        </w:tc>
      </w:tr>
      <w:tr w:rsidR="000813DF" w:rsidRPr="000813DF" w:rsidTr="00E203F1">
        <w:trPr>
          <w:trHeight w:val="275"/>
        </w:trPr>
        <w:tc>
          <w:tcPr>
            <w:tcW w:w="5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1B13C1" w:rsidRPr="000813DF" w:rsidRDefault="001B13C1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 w:rsidRPr="000813DF"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Łączna wartość punktów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1B13C1" w:rsidRPr="000813DF" w:rsidRDefault="008737CB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1B13C1" w:rsidRPr="000813DF" w:rsidRDefault="008737CB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1B13C1" w:rsidRPr="000813DF" w:rsidRDefault="008737CB" w:rsidP="00E203F1">
            <w:pPr>
              <w:widowControl/>
              <w:suppressAutoHyphens w:val="0"/>
              <w:jc w:val="center"/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IN Next LT Pro Light" w:eastAsia="Times New Roman" w:hAnsi="DIN Next LT Pro Light" w:cs="Arial"/>
                <w:b/>
                <w:bCs/>
                <w:sz w:val="18"/>
                <w:szCs w:val="18"/>
                <w:lang w:eastAsia="pl-PL"/>
              </w:rPr>
              <w:t>64</w:t>
            </w:r>
          </w:p>
        </w:tc>
      </w:tr>
    </w:tbl>
    <w:p w:rsidR="006B1630" w:rsidRPr="0097223C" w:rsidRDefault="00E203F1" w:rsidP="000366FE">
      <w:pPr>
        <w:rPr>
          <w:rFonts w:ascii="DIN Next LT Pro Light" w:hAnsi="DIN Next LT Pro Light"/>
        </w:rPr>
        <w:sectPr w:rsidR="006B1630" w:rsidRPr="0097223C" w:rsidSect="00ED061B">
          <w:footerReference w:type="first" r:id="rId13"/>
          <w:pgSz w:w="16838" w:h="11906" w:orient="landscape"/>
          <w:pgMar w:top="993" w:right="993" w:bottom="1417" w:left="1417" w:header="708" w:footer="474" w:gutter="0"/>
          <w:cols w:space="708"/>
          <w:titlePg/>
          <w:docGrid w:linePitch="360"/>
        </w:sectPr>
      </w:pPr>
      <w:r>
        <w:rPr>
          <w:rFonts w:ascii="DIN Next LT Pro Light" w:hAnsi="DIN Next LT Pro Light"/>
        </w:rPr>
        <w:br w:type="textWrapping" w:clear="all"/>
      </w:r>
    </w:p>
    <w:p w:rsidR="008839A4" w:rsidRPr="00722234" w:rsidRDefault="009321F7" w:rsidP="001A0FE4">
      <w:pPr>
        <w:pStyle w:val="Nagwek2"/>
        <w:rPr>
          <w:rFonts w:ascii="DIN Next LT Pro" w:hAnsi="DIN Next LT Pro" w:cs="Times New Roman"/>
          <w:color w:val="005682"/>
          <w:sz w:val="24"/>
          <w:szCs w:val="24"/>
        </w:rPr>
      </w:pPr>
      <w:bookmarkStart w:id="20" w:name="_Toc483231816"/>
      <w:bookmarkStart w:id="21" w:name="_Toc100219137"/>
      <w:r w:rsidRPr="00722234">
        <w:rPr>
          <w:rFonts w:ascii="DIN Next LT Pro" w:hAnsi="DIN Next LT Pro" w:cs="Times New Roman"/>
          <w:color w:val="005682"/>
          <w:sz w:val="24"/>
          <w:szCs w:val="24"/>
        </w:rPr>
        <w:lastRenderedPageBreak/>
        <w:t xml:space="preserve">2.5. </w:t>
      </w:r>
      <w:r w:rsidR="008839A4" w:rsidRPr="00722234">
        <w:rPr>
          <w:rFonts w:ascii="DIN Next LT Pro" w:hAnsi="DIN Next LT Pro" w:cs="Times New Roman"/>
          <w:color w:val="005682"/>
          <w:sz w:val="24"/>
          <w:szCs w:val="24"/>
        </w:rPr>
        <w:t>Podsumowanie prognozy</w:t>
      </w:r>
      <w:bookmarkEnd w:id="20"/>
      <w:bookmarkEnd w:id="21"/>
      <w:r w:rsidR="008839A4" w:rsidRPr="00722234">
        <w:rPr>
          <w:rFonts w:ascii="DIN Next LT Pro" w:hAnsi="DIN Next LT Pro" w:cs="Times New Roman"/>
          <w:color w:val="005682"/>
          <w:sz w:val="24"/>
          <w:szCs w:val="24"/>
        </w:rPr>
        <w:t xml:space="preserve"> </w:t>
      </w:r>
    </w:p>
    <w:p w:rsidR="005C557F" w:rsidRPr="0097223C" w:rsidRDefault="005C557F" w:rsidP="005C557F">
      <w:pPr>
        <w:rPr>
          <w:rFonts w:ascii="DIN Next LT Pro Light" w:hAnsi="DIN Next LT Pro Light"/>
        </w:rPr>
      </w:pPr>
    </w:p>
    <w:p w:rsidR="003313AB" w:rsidRPr="0097223C" w:rsidRDefault="003313AB" w:rsidP="003313AB">
      <w:pPr>
        <w:jc w:val="both"/>
        <w:rPr>
          <w:rFonts w:ascii="DIN Next LT Pro Light" w:hAnsi="DIN Next LT Pro Light" w:cs="Arial"/>
          <w:bCs/>
          <w:szCs w:val="24"/>
        </w:rPr>
      </w:pPr>
    </w:p>
    <w:p w:rsidR="006E7F89" w:rsidRDefault="006E7F89" w:rsidP="006E7F89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DIN Next LT Pro Light" w:hAnsi="DIN Next LT Pro Light"/>
        </w:rPr>
      </w:pPr>
      <w:r w:rsidRPr="0097223C">
        <w:rPr>
          <w:rFonts w:ascii="DIN Next LT Pro Light" w:hAnsi="DIN Next LT Pro Light"/>
        </w:rPr>
        <w:t>Podstawą obliczenia prognozy</w:t>
      </w:r>
      <w:r w:rsidR="00B62C71" w:rsidRPr="0097223C">
        <w:rPr>
          <w:rFonts w:ascii="DIN Next LT Pro Light" w:hAnsi="DIN Next LT Pro Light"/>
        </w:rPr>
        <w:t xml:space="preserve"> </w:t>
      </w:r>
      <w:r w:rsidRPr="0097223C">
        <w:rPr>
          <w:rFonts w:ascii="DIN Next LT Pro Light" w:hAnsi="DIN Next LT Pro Light"/>
        </w:rPr>
        <w:t xml:space="preserve">dla </w:t>
      </w:r>
      <w:r w:rsidR="00B62C71" w:rsidRPr="0097223C">
        <w:rPr>
          <w:rFonts w:ascii="DIN Next LT Pro Light" w:hAnsi="DIN Next LT Pro Light"/>
        </w:rPr>
        <w:t xml:space="preserve">przychodów z tytułu umów z NFZ </w:t>
      </w:r>
      <w:r w:rsidRPr="0097223C">
        <w:rPr>
          <w:rFonts w:ascii="DIN Next LT Pro Light" w:hAnsi="DIN Next LT Pro Light"/>
        </w:rPr>
        <w:t>jest wartość kontraktu</w:t>
      </w:r>
      <w:r w:rsidR="00675FA0" w:rsidRPr="0097223C">
        <w:rPr>
          <w:rFonts w:ascii="DIN Next LT Pro Light" w:hAnsi="DIN Next LT Pro Light"/>
        </w:rPr>
        <w:t xml:space="preserve"> uzyskanego</w:t>
      </w:r>
      <w:r w:rsidR="0064463E" w:rsidRPr="0097223C">
        <w:rPr>
          <w:rFonts w:ascii="DIN Next LT Pro Light" w:hAnsi="DIN Next LT Pro Light"/>
        </w:rPr>
        <w:t xml:space="preserve"> </w:t>
      </w:r>
      <w:r w:rsidR="007B5FAA">
        <w:rPr>
          <w:rFonts w:ascii="DIN Next LT Pro Light" w:hAnsi="DIN Next LT Pro Light"/>
        </w:rPr>
        <w:t>w roku</w:t>
      </w:r>
      <w:r w:rsidRPr="0097223C">
        <w:rPr>
          <w:rFonts w:ascii="DIN Next LT Pro Light" w:hAnsi="DIN Next LT Pro Light"/>
        </w:rPr>
        <w:t xml:space="preserve"> </w:t>
      </w:r>
      <w:r w:rsidR="00206F2E" w:rsidRPr="0097223C">
        <w:rPr>
          <w:rFonts w:ascii="DIN Next LT Pro Light" w:hAnsi="DIN Next LT Pro Light"/>
        </w:rPr>
        <w:t>20</w:t>
      </w:r>
      <w:r w:rsidR="00206F2E">
        <w:rPr>
          <w:rFonts w:ascii="DIN Next LT Pro Light" w:hAnsi="DIN Next LT Pro Light"/>
        </w:rPr>
        <w:t>2</w:t>
      </w:r>
      <w:r w:rsidR="00E17A35">
        <w:rPr>
          <w:rFonts w:ascii="DIN Next LT Pro Light" w:hAnsi="DIN Next LT Pro Light"/>
        </w:rPr>
        <w:t>4</w:t>
      </w:r>
      <w:r w:rsidRPr="0097223C">
        <w:rPr>
          <w:rFonts w:ascii="DIN Next LT Pro Light" w:hAnsi="DIN Next LT Pro Light"/>
        </w:rPr>
        <w:t>.</w:t>
      </w:r>
    </w:p>
    <w:p w:rsidR="000813DF" w:rsidRDefault="000813DF" w:rsidP="006E7F89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Ze względu na </w:t>
      </w:r>
      <w:r w:rsidR="00814B55">
        <w:rPr>
          <w:rFonts w:ascii="DIN Next LT Pro Light" w:hAnsi="DIN Next LT Pro Light"/>
        </w:rPr>
        <w:t xml:space="preserve">wzrost przychodów w kolejnych latach wynikający z projektów prowadzonych przez Bank Tkanek, uzyskania przychodów z tytułu współpracy Pracowni Medycyny Nuklearnej z innymi szpitalami publicznymi i uzyskania finansowania Pracowni oraz </w:t>
      </w:r>
      <w:r w:rsidR="00225D44">
        <w:rPr>
          <w:rFonts w:ascii="DIN Next LT Pro Light" w:hAnsi="DIN Next LT Pro Light"/>
        </w:rPr>
        <w:t>wyższą wyceną procedur medycznych placówka planuje osiągnąć zysk za rok 202</w:t>
      </w:r>
      <w:r w:rsidR="007B5FAA">
        <w:rPr>
          <w:rFonts w:ascii="DIN Next LT Pro Light" w:hAnsi="DIN Next LT Pro Light"/>
        </w:rPr>
        <w:t>5</w:t>
      </w:r>
      <w:r w:rsidR="00225D44">
        <w:rPr>
          <w:rFonts w:ascii="DIN Next LT Pro Light" w:hAnsi="DIN Next LT Pro Light"/>
        </w:rPr>
        <w:t>.</w:t>
      </w:r>
    </w:p>
    <w:p w:rsidR="00814B55" w:rsidRPr="00814B55" w:rsidRDefault="00814B55" w:rsidP="00814B55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DIN Next LT Pro Light" w:hAnsi="DIN Next LT Pro Light" w:cs="Arial"/>
          <w:bCs/>
          <w:szCs w:val="24"/>
        </w:rPr>
      </w:pPr>
      <w:r w:rsidRPr="0097223C">
        <w:rPr>
          <w:rFonts w:ascii="DIN Next LT Pro Light" w:hAnsi="DIN Next LT Pro Light" w:cs="Arial"/>
          <w:bCs/>
          <w:szCs w:val="24"/>
        </w:rPr>
        <w:t xml:space="preserve">Jednostka planuje w </w:t>
      </w:r>
      <w:r>
        <w:rPr>
          <w:rFonts w:ascii="DIN Next LT Pro Light" w:hAnsi="DIN Next LT Pro Light" w:cs="Arial"/>
          <w:bCs/>
          <w:szCs w:val="24"/>
        </w:rPr>
        <w:t>latach 202</w:t>
      </w:r>
      <w:r w:rsidR="007B5FAA">
        <w:rPr>
          <w:rFonts w:ascii="DIN Next LT Pro Light" w:hAnsi="DIN Next LT Pro Light" w:cs="Arial"/>
          <w:bCs/>
          <w:szCs w:val="24"/>
        </w:rPr>
        <w:t>5</w:t>
      </w:r>
      <w:r>
        <w:rPr>
          <w:rFonts w:ascii="DIN Next LT Pro Light" w:hAnsi="DIN Next LT Pro Light" w:cs="Arial"/>
          <w:bCs/>
          <w:szCs w:val="24"/>
        </w:rPr>
        <w:t xml:space="preserve"> i 202</w:t>
      </w:r>
      <w:r w:rsidR="007B5FAA">
        <w:rPr>
          <w:rFonts w:ascii="DIN Next LT Pro Light" w:hAnsi="DIN Next LT Pro Light" w:cs="Arial"/>
          <w:bCs/>
          <w:szCs w:val="24"/>
        </w:rPr>
        <w:t>6</w:t>
      </w:r>
      <w:r w:rsidRPr="0097223C">
        <w:rPr>
          <w:rFonts w:ascii="DIN Next LT Pro Light" w:hAnsi="DIN Next LT Pro Light" w:cs="Arial"/>
          <w:bCs/>
          <w:szCs w:val="24"/>
        </w:rPr>
        <w:t xml:space="preserve"> generować dodatni wynik netto.</w:t>
      </w:r>
    </w:p>
    <w:p w:rsidR="006E7F89" w:rsidRPr="0097223C" w:rsidRDefault="00F46549" w:rsidP="006E7F89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DIN Next LT Pro Light" w:hAnsi="DIN Next LT Pro Light"/>
        </w:rPr>
      </w:pPr>
      <w:r w:rsidRPr="0097223C">
        <w:rPr>
          <w:rFonts w:ascii="DIN Next LT Pro Light" w:hAnsi="DIN Next LT Pro Light"/>
        </w:rPr>
        <w:t>W całym okresie CLO p</w:t>
      </w:r>
      <w:r w:rsidR="00A851BE">
        <w:rPr>
          <w:rFonts w:ascii="DIN Next LT Pro Light" w:hAnsi="DIN Next LT Pro Light"/>
        </w:rPr>
        <w:t>rzewiduje zachowanie</w:t>
      </w:r>
      <w:r w:rsidRPr="0097223C">
        <w:rPr>
          <w:rFonts w:ascii="DIN Next LT Pro Light" w:hAnsi="DIN Next LT Pro Light"/>
        </w:rPr>
        <w:t xml:space="preserve"> płynnoś</w:t>
      </w:r>
      <w:r w:rsidR="00A851BE">
        <w:rPr>
          <w:rFonts w:ascii="DIN Next LT Pro Light" w:hAnsi="DIN Next LT Pro Light"/>
        </w:rPr>
        <w:t>ci finansowej</w:t>
      </w:r>
      <w:r w:rsidRPr="0097223C">
        <w:rPr>
          <w:rFonts w:ascii="DIN Next LT Pro Light" w:hAnsi="DIN Next LT Pro Light"/>
        </w:rPr>
        <w:t>. Wskaźnik płynności bieżącej utrzymuj</w:t>
      </w:r>
      <w:r w:rsidR="005F4599" w:rsidRPr="0097223C">
        <w:rPr>
          <w:rFonts w:ascii="DIN Next LT Pro Light" w:hAnsi="DIN Next LT Pro Light"/>
        </w:rPr>
        <w:t>e</w:t>
      </w:r>
      <w:r w:rsidRPr="0097223C">
        <w:rPr>
          <w:rFonts w:ascii="DIN Next LT Pro Light" w:hAnsi="DIN Next LT Pro Light"/>
        </w:rPr>
        <w:t xml:space="preserve"> się na poziomie powyżej ogólnie przyjętego minimum bezpieczeństwa finansowego.</w:t>
      </w:r>
    </w:p>
    <w:p w:rsidR="00AC4D09" w:rsidRPr="0097223C" w:rsidRDefault="00AC4D09" w:rsidP="00AC4D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97223C">
        <w:rPr>
          <w:rFonts w:ascii="DIN Next LT Pro Light" w:hAnsi="DIN Next LT Pro Light"/>
          <w:sz w:val="22"/>
          <w:szCs w:val="22"/>
        </w:rPr>
        <w:t xml:space="preserve">Analizując rentowność należy pamiętać, że w przypadku szpitala jako instytucji, której celem </w:t>
      </w:r>
      <w:r w:rsidR="000E4201" w:rsidRPr="0097223C">
        <w:rPr>
          <w:rFonts w:ascii="DIN Next LT Pro Light" w:hAnsi="DIN Next LT Pro Light"/>
          <w:sz w:val="22"/>
          <w:szCs w:val="22"/>
        </w:rPr>
        <w:br/>
      </w:r>
      <w:r w:rsidRPr="0097223C">
        <w:rPr>
          <w:rFonts w:ascii="DIN Next LT Pro Light" w:hAnsi="DIN Next LT Pro Light"/>
          <w:sz w:val="22"/>
          <w:szCs w:val="22"/>
        </w:rPr>
        <w:t>nie jest maksymalizacja zysku, istotniejszym jest fakt bilansowania się prowadzonej działalności.</w:t>
      </w:r>
    </w:p>
    <w:p w:rsidR="00A6129B" w:rsidRPr="0097223C" w:rsidRDefault="00A6129B" w:rsidP="00A6129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DIN Next LT Pro Light" w:hAnsi="DIN Next LT Pro Light"/>
          <w:sz w:val="22"/>
          <w:szCs w:val="22"/>
        </w:rPr>
      </w:pPr>
      <w:r w:rsidRPr="0097223C">
        <w:rPr>
          <w:rFonts w:ascii="DIN Next LT Pro Light" w:hAnsi="DIN Next LT Pro Light"/>
          <w:sz w:val="22"/>
          <w:szCs w:val="22"/>
        </w:rPr>
        <w:t>Wskaźniki zadłużenia w prognozowanych latach utrzymują się na bezpiecznym poziomie.</w:t>
      </w:r>
    </w:p>
    <w:p w:rsidR="001B7B7E" w:rsidRDefault="001B7B7E">
      <w:pPr>
        <w:widowControl/>
        <w:suppressAutoHyphens w:val="0"/>
        <w:jc w:val="both"/>
        <w:rPr>
          <w:rFonts w:ascii="DIN Next LT Pro Light" w:hAnsi="DIN Next LT Pro Light" w:cs="Arial"/>
          <w:bCs/>
          <w:szCs w:val="24"/>
        </w:rPr>
      </w:pPr>
      <w:r>
        <w:rPr>
          <w:rFonts w:ascii="DIN Next LT Pro Light" w:hAnsi="DIN Next LT Pro Light" w:cs="Arial"/>
          <w:bCs/>
          <w:szCs w:val="24"/>
        </w:rPr>
        <w:br w:type="page"/>
      </w:r>
    </w:p>
    <w:p w:rsidR="003313AB" w:rsidRPr="00AB6FD0" w:rsidRDefault="00911FCE" w:rsidP="00AB6FD0">
      <w:pPr>
        <w:pStyle w:val="Nagwek1"/>
        <w:numPr>
          <w:ilvl w:val="0"/>
          <w:numId w:val="10"/>
        </w:numPr>
        <w:spacing w:line="360" w:lineRule="auto"/>
        <w:ind w:left="426"/>
        <w:rPr>
          <w:rFonts w:ascii="DIN Next LT Pro" w:hAnsi="DIN Next LT Pro" w:cs="Times New Roman"/>
          <w:color w:val="F58220"/>
          <w:sz w:val="24"/>
          <w:szCs w:val="24"/>
        </w:rPr>
      </w:pPr>
      <w:bookmarkStart w:id="22" w:name="_Toc482003127"/>
      <w:bookmarkStart w:id="23" w:name="_Toc483231817"/>
      <w:bookmarkStart w:id="24" w:name="_Toc100219138"/>
      <w:r w:rsidRPr="00AB6FD0">
        <w:rPr>
          <w:rFonts w:ascii="DIN Next LT Pro" w:hAnsi="DIN Next LT Pro" w:cs="Times New Roman"/>
          <w:color w:val="F58220"/>
          <w:sz w:val="24"/>
          <w:szCs w:val="24"/>
        </w:rPr>
        <w:lastRenderedPageBreak/>
        <w:t xml:space="preserve">INFORMACJA O ISTOTNYCH ZDARZENIACH MAJĄCYCH WPŁYW NA SYTUACJĘ </w:t>
      </w:r>
      <w:r w:rsidR="00722234" w:rsidRPr="00AB6FD0">
        <w:rPr>
          <w:rFonts w:ascii="DIN Next LT Pro" w:hAnsi="DIN Next LT Pro" w:cs="Times New Roman"/>
          <w:color w:val="F58220"/>
          <w:sz w:val="24"/>
          <w:szCs w:val="24"/>
        </w:rPr>
        <w:t xml:space="preserve"> </w:t>
      </w:r>
      <w:r w:rsidRPr="00AB6FD0">
        <w:rPr>
          <w:rFonts w:ascii="DIN Next LT Pro" w:hAnsi="DIN Next LT Pro" w:cs="Times New Roman"/>
          <w:color w:val="F58220"/>
          <w:sz w:val="24"/>
          <w:szCs w:val="24"/>
        </w:rPr>
        <w:t>EKONOMICZNO – FINANSOWĄ SAMODZIELNEGO PUBLICZNEGO ZAKŁADU OPIEKI ZDROWOTNEJ</w:t>
      </w:r>
      <w:bookmarkEnd w:id="22"/>
      <w:bookmarkEnd w:id="23"/>
      <w:bookmarkEnd w:id="24"/>
    </w:p>
    <w:p w:rsidR="00722234" w:rsidRPr="00722234" w:rsidRDefault="00722234" w:rsidP="00722234"/>
    <w:p w:rsidR="00566830" w:rsidRPr="00431348" w:rsidRDefault="00566830" w:rsidP="00566830">
      <w:pPr>
        <w:pStyle w:val="Akapitzlist"/>
        <w:numPr>
          <w:ilvl w:val="0"/>
          <w:numId w:val="12"/>
        </w:numPr>
        <w:spacing w:line="360" w:lineRule="auto"/>
        <w:ind w:left="709" w:hanging="284"/>
        <w:jc w:val="both"/>
        <w:rPr>
          <w:rFonts w:ascii="DIN Next LT Pro Light" w:hAnsi="DIN Next LT Pro Light"/>
          <w:sz w:val="22"/>
          <w:szCs w:val="22"/>
        </w:rPr>
      </w:pPr>
      <w:r w:rsidRPr="0097223C">
        <w:rPr>
          <w:rFonts w:ascii="DIN Next LT Pro Light" w:hAnsi="DIN Next LT Pro Light" w:cs="Calibri"/>
          <w:sz w:val="22"/>
          <w:szCs w:val="22"/>
        </w:rPr>
        <w:t>Wszystkie planowane symulacje dotyczące działalności operacyjnej i rozliczeniowej mogą ulec zmianie. Będzie to związane z kształtowaniem się wartości kontraktu z Narodowym Funduszem Zdrowia</w:t>
      </w:r>
      <w:r>
        <w:rPr>
          <w:rFonts w:ascii="DIN Next LT Pro Light" w:hAnsi="DIN Next LT Pro Light" w:cs="Calibri"/>
          <w:sz w:val="22"/>
          <w:szCs w:val="22"/>
        </w:rPr>
        <w:t xml:space="preserve"> i ewentualną zmianą wycen procedur leczniczych</w:t>
      </w:r>
      <w:r w:rsidRPr="0097223C">
        <w:rPr>
          <w:rFonts w:ascii="DIN Next LT Pro Light" w:hAnsi="DIN Next LT Pro Light" w:cs="Calibri"/>
          <w:sz w:val="22"/>
          <w:szCs w:val="22"/>
        </w:rPr>
        <w:t xml:space="preserve">. Wpłynie </w:t>
      </w:r>
      <w:r w:rsidR="00C74A67">
        <w:rPr>
          <w:rFonts w:ascii="DIN Next LT Pro Light" w:hAnsi="DIN Next LT Pro Light" w:cs="Calibri"/>
          <w:sz w:val="22"/>
          <w:szCs w:val="22"/>
        </w:rPr>
        <w:br/>
      </w:r>
      <w:r w:rsidRPr="0097223C">
        <w:rPr>
          <w:rFonts w:ascii="DIN Next LT Pro Light" w:hAnsi="DIN Next LT Pro Light" w:cs="Calibri"/>
          <w:sz w:val="22"/>
          <w:szCs w:val="22"/>
        </w:rPr>
        <w:t>to na ostateczną kondycję finansową CLO.</w:t>
      </w:r>
    </w:p>
    <w:p w:rsidR="00566830" w:rsidRPr="0097223C" w:rsidRDefault="00566830" w:rsidP="00566830">
      <w:pPr>
        <w:pStyle w:val="Akapitzlist"/>
        <w:numPr>
          <w:ilvl w:val="0"/>
          <w:numId w:val="12"/>
        </w:numPr>
        <w:spacing w:line="360" w:lineRule="auto"/>
        <w:ind w:left="709" w:hanging="284"/>
        <w:jc w:val="both"/>
        <w:rPr>
          <w:rFonts w:ascii="DIN Next LT Pro Light" w:hAnsi="DIN Next LT Pro Light"/>
          <w:sz w:val="22"/>
          <w:szCs w:val="22"/>
        </w:rPr>
      </w:pPr>
      <w:r>
        <w:rPr>
          <w:rFonts w:ascii="DIN Next LT Pro Light" w:hAnsi="DIN Next LT Pro Light"/>
          <w:sz w:val="22"/>
          <w:szCs w:val="22"/>
        </w:rPr>
        <w:t>Utrzymująca się inflacja stanowi nadal poważne zagrożenie i będzie skutkować dalszymi podwyżkami cen usług, energii i materiałów. Jej pochodną są również podwyżki wynagrodzeń personelu CLO.</w:t>
      </w:r>
    </w:p>
    <w:p w:rsidR="00566830" w:rsidRPr="00566830" w:rsidRDefault="00566830" w:rsidP="00566830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ind w:left="709" w:hanging="284"/>
        <w:jc w:val="both"/>
        <w:rPr>
          <w:rFonts w:ascii="DIN Next LT Pro Light" w:hAnsi="DIN Next LT Pro Light"/>
          <w:sz w:val="22"/>
          <w:szCs w:val="22"/>
        </w:rPr>
      </w:pPr>
      <w:r w:rsidRPr="0097223C">
        <w:rPr>
          <w:rFonts w:ascii="DIN Next LT Pro Light" w:hAnsi="DIN Next LT Pro Light" w:cs="Calibri"/>
          <w:sz w:val="22"/>
          <w:szCs w:val="22"/>
        </w:rPr>
        <w:t>Pozyskanie dodatkowych środków finansowych w projektach unijnych</w:t>
      </w:r>
      <w:r>
        <w:rPr>
          <w:rFonts w:ascii="DIN Next LT Pro Light" w:hAnsi="DIN Next LT Pro Light" w:cs="Calibri"/>
          <w:sz w:val="22"/>
          <w:szCs w:val="22"/>
        </w:rPr>
        <w:t xml:space="preserve"> i innych, np. związanych z konkursami ogłaszanymi przez Ministerstwo Zdrowia</w:t>
      </w:r>
      <w:r w:rsidR="001D07D0">
        <w:rPr>
          <w:rFonts w:ascii="DIN Next LT Pro Light" w:hAnsi="DIN Next LT Pro Light" w:cs="Calibri"/>
          <w:sz w:val="22"/>
          <w:szCs w:val="22"/>
        </w:rPr>
        <w:t xml:space="preserve"> </w:t>
      </w:r>
      <w:r>
        <w:rPr>
          <w:rFonts w:ascii="DIN Next LT Pro Light" w:hAnsi="DIN Next LT Pro Light" w:cs="Calibri"/>
          <w:sz w:val="22"/>
          <w:szCs w:val="22"/>
        </w:rPr>
        <w:t>tworzy</w:t>
      </w:r>
      <w:r w:rsidRPr="0097223C">
        <w:rPr>
          <w:rFonts w:ascii="DIN Next LT Pro Light" w:hAnsi="DIN Next LT Pro Light" w:cs="Calibri"/>
          <w:sz w:val="22"/>
          <w:szCs w:val="22"/>
        </w:rPr>
        <w:t xml:space="preserve"> nowe możliwości diagnostyczno-terapeutyczne pacjentów oparzonych i z ranami przewlekłymi </w:t>
      </w:r>
      <w:r>
        <w:rPr>
          <w:rFonts w:ascii="DIN Next LT Pro Light" w:hAnsi="DIN Next LT Pro Light" w:cs="Calibri"/>
          <w:sz w:val="22"/>
          <w:szCs w:val="22"/>
        </w:rPr>
        <w:t>i</w:t>
      </w:r>
      <w:r w:rsidRPr="0097223C">
        <w:rPr>
          <w:rFonts w:ascii="DIN Next LT Pro Light" w:hAnsi="DIN Next LT Pro Light" w:cs="Calibri"/>
          <w:sz w:val="22"/>
          <w:szCs w:val="22"/>
        </w:rPr>
        <w:t xml:space="preserve"> może mieć </w:t>
      </w:r>
      <w:r>
        <w:rPr>
          <w:rFonts w:ascii="DIN Next LT Pro Light" w:hAnsi="DIN Next LT Pro Light" w:cs="Calibri"/>
          <w:sz w:val="22"/>
          <w:szCs w:val="22"/>
        </w:rPr>
        <w:t xml:space="preserve">dodatkowy, pozytywny </w:t>
      </w:r>
      <w:r w:rsidRPr="0097223C">
        <w:rPr>
          <w:rFonts w:ascii="DIN Next LT Pro Light" w:hAnsi="DIN Next LT Pro Light" w:cs="Calibri"/>
          <w:sz w:val="22"/>
          <w:szCs w:val="22"/>
        </w:rPr>
        <w:t>wpływ na finanse CLO.</w:t>
      </w:r>
    </w:p>
    <w:p w:rsidR="001B7B7E" w:rsidRPr="00566830" w:rsidRDefault="00566830" w:rsidP="00566830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ind w:left="709" w:hanging="284"/>
        <w:jc w:val="both"/>
        <w:rPr>
          <w:rFonts w:ascii="DIN Next LT Pro Light" w:hAnsi="DIN Next LT Pro Light"/>
          <w:sz w:val="22"/>
          <w:szCs w:val="22"/>
        </w:rPr>
      </w:pPr>
      <w:r w:rsidRPr="00566830">
        <w:rPr>
          <w:rFonts w:ascii="DIN Next LT Pro Light" w:hAnsi="DIN Next LT Pro Light" w:cs="Calibri"/>
          <w:sz w:val="22"/>
          <w:szCs w:val="22"/>
        </w:rPr>
        <w:t>Plan</w:t>
      </w:r>
      <w:r>
        <w:rPr>
          <w:rFonts w:ascii="DIN Next LT Pro Light" w:hAnsi="DIN Next LT Pro Light" w:cs="Calibri"/>
          <w:sz w:val="22"/>
          <w:szCs w:val="22"/>
        </w:rPr>
        <w:t xml:space="preserve"> </w:t>
      </w:r>
      <w:r w:rsidRPr="00566830">
        <w:rPr>
          <w:rFonts w:ascii="DIN Next LT Pro Light" w:hAnsi="DIN Next LT Pro Light"/>
          <w:sz w:val="22"/>
          <w:szCs w:val="22"/>
        </w:rPr>
        <w:t>finansowy Centrum Leczenia Oparzeń</w:t>
      </w:r>
      <w:r>
        <w:rPr>
          <w:rFonts w:ascii="DIN Next LT Pro Light" w:hAnsi="DIN Next LT Pro Light"/>
          <w:sz w:val="22"/>
          <w:szCs w:val="22"/>
        </w:rPr>
        <w:t xml:space="preserve"> </w:t>
      </w:r>
      <w:r w:rsidRPr="00566830">
        <w:rPr>
          <w:rFonts w:ascii="DIN Next LT Pro Light" w:hAnsi="DIN Next LT Pro Light"/>
          <w:sz w:val="22"/>
          <w:szCs w:val="22"/>
        </w:rPr>
        <w:t xml:space="preserve">im. dr. Stanisława </w:t>
      </w:r>
      <w:proofErr w:type="spellStart"/>
      <w:r w:rsidRPr="00566830">
        <w:rPr>
          <w:rFonts w:ascii="DIN Next LT Pro Light" w:hAnsi="DIN Next LT Pro Light"/>
          <w:sz w:val="22"/>
          <w:szCs w:val="22"/>
        </w:rPr>
        <w:t>Sakiela</w:t>
      </w:r>
      <w:proofErr w:type="spellEnd"/>
      <w:r w:rsidRPr="00566830">
        <w:rPr>
          <w:rFonts w:ascii="DIN Next LT Pro Light" w:hAnsi="DIN Next LT Pro Light"/>
          <w:sz w:val="22"/>
          <w:szCs w:val="22"/>
        </w:rPr>
        <w:t xml:space="preserve"> w Siemianowicach Śląskich jest dokumentem dynamicznym. Oznacza to, że może ulegać aktualizacji </w:t>
      </w:r>
      <w:r w:rsidRPr="00566830">
        <w:rPr>
          <w:rFonts w:ascii="DIN Next LT Pro Light" w:hAnsi="DIN Next LT Pro Light"/>
          <w:sz w:val="22"/>
          <w:szCs w:val="22"/>
        </w:rPr>
        <w:br/>
        <w:t xml:space="preserve">i dostosowaniom w zależności od zmieniających się istotnych uwarunkowań rozwoju CLO </w:t>
      </w:r>
      <w:r w:rsidR="00C74A67">
        <w:rPr>
          <w:rFonts w:ascii="DIN Next LT Pro Light" w:hAnsi="DIN Next LT Pro Light"/>
          <w:sz w:val="22"/>
          <w:szCs w:val="22"/>
        </w:rPr>
        <w:br/>
      </w:r>
      <w:r w:rsidRPr="00566830">
        <w:rPr>
          <w:rFonts w:ascii="DIN Next LT Pro Light" w:hAnsi="DIN Next LT Pro Light"/>
          <w:sz w:val="22"/>
          <w:szCs w:val="22"/>
        </w:rPr>
        <w:t>oraz oceny skuteczności przyjętej strategii postępowania dokonywanej w trakcie ewaluacji</w:t>
      </w: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B7B7E" w:rsidRDefault="001B7B7E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C74A67" w:rsidRDefault="00C74A67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C74A67" w:rsidRDefault="00C74A67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C74A67" w:rsidRDefault="00C74A67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C74A67" w:rsidRDefault="00C74A67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C74A67" w:rsidRDefault="00C74A67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C74A67" w:rsidRDefault="00C74A67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C74A67" w:rsidRDefault="00C74A67" w:rsidP="005C557F">
      <w:pPr>
        <w:pStyle w:val="Bezodstpw"/>
        <w:spacing w:line="360" w:lineRule="auto"/>
        <w:rPr>
          <w:rFonts w:ascii="DIN Next LT Pro Light" w:hAnsi="DIN Next LT Pro Light" w:cs="Calibri"/>
          <w:sz w:val="18"/>
          <w:szCs w:val="18"/>
        </w:rPr>
      </w:pPr>
    </w:p>
    <w:p w:rsidR="001E00D1" w:rsidRPr="0097223C" w:rsidRDefault="00B3441C" w:rsidP="005C557F">
      <w:pPr>
        <w:pStyle w:val="Bezodstpw"/>
        <w:spacing w:line="360" w:lineRule="auto"/>
        <w:rPr>
          <w:rFonts w:ascii="DIN Next LT Pro Light" w:hAnsi="DIN Next LT Pro Light" w:cs="Arial"/>
          <w:b/>
          <w:bCs/>
          <w:sz w:val="18"/>
          <w:szCs w:val="18"/>
        </w:rPr>
      </w:pPr>
      <w:r w:rsidRPr="0097223C">
        <w:rPr>
          <w:rFonts w:ascii="DIN Next LT Pro Light" w:hAnsi="DIN Next LT Pro Light" w:cs="Calibri"/>
          <w:sz w:val="18"/>
          <w:szCs w:val="18"/>
        </w:rPr>
        <w:t xml:space="preserve">Siemianowice Śląskie, </w:t>
      </w:r>
      <w:r w:rsidR="00306870">
        <w:rPr>
          <w:rFonts w:ascii="DIN Next LT Pro Light" w:hAnsi="DIN Next LT Pro Light" w:cs="Calibri"/>
          <w:sz w:val="18"/>
          <w:szCs w:val="18"/>
        </w:rPr>
        <w:t xml:space="preserve"> </w:t>
      </w:r>
      <w:r w:rsidR="00C74A67">
        <w:rPr>
          <w:rFonts w:ascii="DIN Next LT Pro Light" w:hAnsi="DIN Next LT Pro Light" w:cs="Calibri"/>
          <w:sz w:val="18"/>
          <w:szCs w:val="18"/>
        </w:rPr>
        <w:t>5 maja</w:t>
      </w:r>
      <w:r w:rsidR="00BA7598">
        <w:rPr>
          <w:rFonts w:ascii="DIN Next LT Pro Light" w:hAnsi="DIN Next LT Pro Light" w:cs="Calibri"/>
          <w:sz w:val="18"/>
          <w:szCs w:val="18"/>
        </w:rPr>
        <w:t xml:space="preserve"> 202</w:t>
      </w:r>
      <w:r w:rsidR="007B5FAA">
        <w:rPr>
          <w:rFonts w:ascii="DIN Next LT Pro Light" w:hAnsi="DIN Next LT Pro Light" w:cs="Calibri"/>
          <w:sz w:val="18"/>
          <w:szCs w:val="18"/>
        </w:rPr>
        <w:t>5</w:t>
      </w:r>
      <w:r w:rsidR="000C0721">
        <w:rPr>
          <w:rFonts w:ascii="DIN Next LT Pro Light" w:hAnsi="DIN Next LT Pro Light" w:cs="Calibri"/>
          <w:sz w:val="18"/>
          <w:szCs w:val="18"/>
        </w:rPr>
        <w:t xml:space="preserve"> r</w:t>
      </w:r>
      <w:r w:rsidR="00915B98" w:rsidRPr="0097223C">
        <w:rPr>
          <w:rFonts w:ascii="DIN Next LT Pro Light" w:hAnsi="DIN Next LT Pro Light" w:cs="Calibri"/>
          <w:sz w:val="18"/>
          <w:szCs w:val="18"/>
        </w:rPr>
        <w:t>.</w:t>
      </w:r>
    </w:p>
    <w:sectPr w:rsidR="001E00D1" w:rsidRPr="0097223C" w:rsidSect="00C37E28">
      <w:footerReference w:type="first" r:id="rId14"/>
      <w:pgSz w:w="11906" w:h="16838"/>
      <w:pgMar w:top="993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C9" w:rsidRDefault="00CE04C9" w:rsidP="00D87E1A">
      <w:r>
        <w:separator/>
      </w:r>
    </w:p>
  </w:endnote>
  <w:endnote w:type="continuationSeparator" w:id="0">
    <w:p w:rsidR="00CE04C9" w:rsidRDefault="00CE04C9" w:rsidP="00D8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768404"/>
      <w:docPartObj>
        <w:docPartGallery w:val="Page Numbers (Bottom of Page)"/>
        <w:docPartUnique/>
      </w:docPartObj>
    </w:sdtPr>
    <w:sdtEndPr>
      <w:rPr>
        <w:rFonts w:ascii="DIN Next LT Pro Light" w:hAnsi="DIN Next LT Pro Light"/>
        <w:sz w:val="18"/>
        <w:szCs w:val="18"/>
      </w:rPr>
    </w:sdtEndPr>
    <w:sdtContent>
      <w:p w:rsidR="00CE04C9" w:rsidRPr="00415FF6" w:rsidRDefault="00CE04C9">
        <w:pPr>
          <w:pStyle w:val="Stopka"/>
          <w:jc w:val="right"/>
          <w:rPr>
            <w:sz w:val="18"/>
            <w:szCs w:val="18"/>
          </w:rPr>
        </w:pPr>
        <w:r w:rsidRPr="00415FF6">
          <w:rPr>
            <w:rFonts w:ascii="DIN Next LT Pro Light" w:hAnsi="DIN Next LT Pro Light"/>
            <w:sz w:val="18"/>
            <w:szCs w:val="18"/>
          </w:rPr>
          <w:fldChar w:fldCharType="begin"/>
        </w:r>
        <w:r w:rsidRPr="00415FF6">
          <w:rPr>
            <w:rFonts w:ascii="DIN Next LT Pro Light" w:hAnsi="DIN Next LT Pro Light"/>
            <w:sz w:val="18"/>
            <w:szCs w:val="18"/>
          </w:rPr>
          <w:instrText xml:space="preserve"> PAGE   \* MERGEFORMAT </w:instrText>
        </w:r>
        <w:r w:rsidRPr="00415FF6">
          <w:rPr>
            <w:rFonts w:ascii="DIN Next LT Pro Light" w:hAnsi="DIN Next LT Pro Light"/>
            <w:sz w:val="18"/>
            <w:szCs w:val="18"/>
          </w:rPr>
          <w:fldChar w:fldCharType="separate"/>
        </w:r>
        <w:r>
          <w:rPr>
            <w:rFonts w:ascii="DIN Next LT Pro Light" w:hAnsi="DIN Next LT Pro Light"/>
            <w:noProof/>
            <w:sz w:val="18"/>
            <w:szCs w:val="18"/>
          </w:rPr>
          <w:t>4</w:t>
        </w:r>
        <w:r w:rsidRPr="00415FF6">
          <w:rPr>
            <w:rFonts w:ascii="DIN Next LT Pro Light" w:hAnsi="DIN Next LT Pro Light"/>
            <w:sz w:val="18"/>
            <w:szCs w:val="18"/>
          </w:rPr>
          <w:fldChar w:fldCharType="end"/>
        </w:r>
      </w:p>
    </w:sdtContent>
  </w:sdt>
  <w:p w:rsidR="00CE04C9" w:rsidRDefault="00CE04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C9" w:rsidRDefault="00CE04C9" w:rsidP="008F42C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877768412"/>
      <w:docPartObj>
        <w:docPartGallery w:val="Page Numbers (Bottom of Page)"/>
        <w:docPartUnique/>
      </w:docPartObj>
    </w:sdtPr>
    <w:sdtEndPr>
      <w:rPr>
        <w:rFonts w:ascii="DIN Next LT Pro Light" w:hAnsi="DIN Next LT Pro Light"/>
        <w:sz w:val="20"/>
        <w:szCs w:val="20"/>
      </w:rPr>
    </w:sdtEndPr>
    <w:sdtContent>
      <w:p w:rsidR="00CE04C9" w:rsidRPr="00ED061B" w:rsidRDefault="00CE04C9" w:rsidP="005D2228">
        <w:pPr>
          <w:pStyle w:val="Stopka"/>
          <w:tabs>
            <w:tab w:val="clear" w:pos="9072"/>
            <w:tab w:val="right" w:pos="9498"/>
          </w:tabs>
          <w:rPr>
            <w:rFonts w:ascii="DIN Next LT Pro Light" w:hAnsi="DIN Next LT Pro Light"/>
            <w:sz w:val="20"/>
          </w:rPr>
        </w:pPr>
        <w:r w:rsidRPr="005D2228"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D061B">
          <w:rPr>
            <w:rFonts w:ascii="DIN Next LT Pro Light" w:hAnsi="DIN Next LT Pro Light"/>
            <w:sz w:val="20"/>
          </w:rPr>
          <w:fldChar w:fldCharType="begin"/>
        </w:r>
        <w:r w:rsidRPr="00ED061B">
          <w:rPr>
            <w:rFonts w:ascii="DIN Next LT Pro Light" w:hAnsi="DIN Next LT Pro Light"/>
            <w:sz w:val="20"/>
          </w:rPr>
          <w:instrText xml:space="preserve"> PAGE   \* MERGEFORMAT </w:instrText>
        </w:r>
        <w:r w:rsidRPr="00ED061B">
          <w:rPr>
            <w:rFonts w:ascii="DIN Next LT Pro Light" w:hAnsi="DIN Next LT Pro Light"/>
            <w:sz w:val="20"/>
          </w:rPr>
          <w:fldChar w:fldCharType="separate"/>
        </w:r>
        <w:r>
          <w:rPr>
            <w:rFonts w:ascii="DIN Next LT Pro Light" w:hAnsi="DIN Next LT Pro Light"/>
            <w:noProof/>
            <w:sz w:val="20"/>
          </w:rPr>
          <w:t>2</w:t>
        </w:r>
        <w:r w:rsidRPr="00ED061B">
          <w:rPr>
            <w:rFonts w:ascii="DIN Next LT Pro Light" w:hAnsi="DIN Next LT Pro Light"/>
            <w:sz w:val="20"/>
          </w:rPr>
          <w:fldChar w:fldCharType="end"/>
        </w:r>
      </w:p>
    </w:sdtContent>
  </w:sdt>
  <w:p w:rsidR="00CE04C9" w:rsidRDefault="00CE04C9" w:rsidP="008F42CC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768402"/>
      <w:docPartObj>
        <w:docPartGallery w:val="Page Numbers (Bottom of Page)"/>
        <w:docPartUnique/>
      </w:docPartObj>
    </w:sdtPr>
    <w:sdtEndPr>
      <w:rPr>
        <w:rFonts w:ascii="DIN Next LT Pro Light" w:hAnsi="DIN Next LT Pro Light"/>
        <w:sz w:val="20"/>
      </w:rPr>
    </w:sdtEndPr>
    <w:sdtContent>
      <w:p w:rsidR="00CE04C9" w:rsidRDefault="00CE04C9">
        <w:pPr>
          <w:pStyle w:val="Stopka"/>
          <w:jc w:val="right"/>
        </w:pPr>
        <w:r w:rsidRPr="00ED061B">
          <w:rPr>
            <w:rFonts w:ascii="DIN Next LT Pro Light" w:hAnsi="DIN Next LT Pro Light"/>
            <w:sz w:val="20"/>
          </w:rPr>
          <w:fldChar w:fldCharType="begin"/>
        </w:r>
        <w:r w:rsidRPr="00ED061B">
          <w:rPr>
            <w:rFonts w:ascii="DIN Next LT Pro Light" w:hAnsi="DIN Next LT Pro Light"/>
            <w:sz w:val="20"/>
          </w:rPr>
          <w:instrText xml:space="preserve"> PAGE   \* MERGEFORMAT </w:instrText>
        </w:r>
        <w:r w:rsidRPr="00ED061B">
          <w:rPr>
            <w:rFonts w:ascii="DIN Next LT Pro Light" w:hAnsi="DIN Next LT Pro Light"/>
            <w:sz w:val="20"/>
          </w:rPr>
          <w:fldChar w:fldCharType="separate"/>
        </w:r>
        <w:r>
          <w:rPr>
            <w:rFonts w:ascii="DIN Next LT Pro Light" w:hAnsi="DIN Next LT Pro Light"/>
            <w:noProof/>
            <w:sz w:val="20"/>
          </w:rPr>
          <w:t>20</w:t>
        </w:r>
        <w:r w:rsidRPr="00ED061B">
          <w:rPr>
            <w:rFonts w:ascii="DIN Next LT Pro Light" w:hAnsi="DIN Next LT Pro Light"/>
            <w:sz w:val="20"/>
          </w:rPr>
          <w:fldChar w:fldCharType="end"/>
        </w:r>
      </w:p>
    </w:sdtContent>
  </w:sdt>
  <w:p w:rsidR="00CE04C9" w:rsidRPr="00ED061B" w:rsidRDefault="00CE04C9" w:rsidP="004B604D">
    <w:pPr>
      <w:pStyle w:val="Stopka"/>
      <w:rPr>
        <w:rFonts w:ascii="DIN Next LT Pro Light" w:hAnsi="DIN Next LT Pro Light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C9" w:rsidRPr="00ED061B" w:rsidRDefault="00CE04C9">
    <w:pPr>
      <w:pStyle w:val="Stopka"/>
      <w:jc w:val="right"/>
      <w:rPr>
        <w:rFonts w:ascii="DIN Next LT Pro Light" w:hAnsi="DIN Next LT Pro Light"/>
        <w:sz w:val="20"/>
      </w:rPr>
    </w:pPr>
    <w:r w:rsidRPr="00ED061B">
      <w:rPr>
        <w:rFonts w:ascii="DIN Next LT Pro Light" w:hAnsi="DIN Next LT Pro Light"/>
        <w:sz w:val="20"/>
      </w:rPr>
      <w:fldChar w:fldCharType="begin"/>
    </w:r>
    <w:r w:rsidRPr="00ED061B">
      <w:rPr>
        <w:rFonts w:ascii="DIN Next LT Pro Light" w:hAnsi="DIN Next LT Pro Light"/>
        <w:sz w:val="20"/>
      </w:rPr>
      <w:instrText xml:space="preserve"> PAGE   \* MERGEFORMAT </w:instrText>
    </w:r>
    <w:r w:rsidRPr="00ED061B">
      <w:rPr>
        <w:rFonts w:ascii="DIN Next LT Pro Light" w:hAnsi="DIN Next LT Pro Light"/>
        <w:sz w:val="20"/>
      </w:rPr>
      <w:fldChar w:fldCharType="separate"/>
    </w:r>
    <w:r>
      <w:rPr>
        <w:rFonts w:ascii="DIN Next LT Pro Light" w:hAnsi="DIN Next LT Pro Light"/>
        <w:noProof/>
        <w:sz w:val="20"/>
      </w:rPr>
      <w:t>21</w:t>
    </w:r>
    <w:r w:rsidRPr="00ED061B">
      <w:rPr>
        <w:rFonts w:ascii="DIN Next LT Pro Light" w:hAnsi="DIN Next LT Pro Light"/>
        <w:sz w:val="20"/>
      </w:rPr>
      <w:fldChar w:fldCharType="end"/>
    </w:r>
  </w:p>
  <w:p w:rsidR="00CE04C9" w:rsidRDefault="00CE04C9" w:rsidP="008F42C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C9" w:rsidRDefault="00CE04C9" w:rsidP="00D87E1A">
      <w:r>
        <w:separator/>
      </w:r>
    </w:p>
  </w:footnote>
  <w:footnote w:type="continuationSeparator" w:id="0">
    <w:p w:rsidR="00CE04C9" w:rsidRDefault="00CE04C9" w:rsidP="00D8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C9" w:rsidRDefault="00CE04C9" w:rsidP="009722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3882390</wp:posOffset>
              </wp:positionH>
              <wp:positionV relativeFrom="paragraph">
                <wp:posOffset>62865</wp:posOffset>
              </wp:positionV>
              <wp:extent cx="2425065" cy="6991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4C9" w:rsidRPr="00886B90" w:rsidRDefault="00CE04C9" w:rsidP="00541146">
                          <w:pPr>
                            <w:pStyle w:val="Tytu"/>
                            <w:jc w:val="right"/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</w:pPr>
                          <w:r w:rsidRPr="00886B90"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 xml:space="preserve">Załącznik </w:t>
                          </w:r>
                          <w:r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>n</w:t>
                          </w:r>
                          <w:r w:rsidRPr="00886B90"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886B90"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CE04C9" w:rsidRPr="00886B90" w:rsidRDefault="00CE04C9" w:rsidP="00541146">
                          <w:pPr>
                            <w:pStyle w:val="Tytu"/>
                            <w:jc w:val="right"/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</w:pPr>
                          <w:r w:rsidRPr="00886B90"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>do Uchwały Rady Społecznej nr</w:t>
                          </w:r>
                          <w:r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63AD"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>/2025</w:t>
                          </w:r>
                          <w:r w:rsidRPr="00886B90"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CE04C9" w:rsidRPr="00886B90" w:rsidRDefault="00CE04C9" w:rsidP="00A614AE">
                          <w:pPr>
                            <w:pStyle w:val="Tytu"/>
                            <w:jc w:val="right"/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</w:pPr>
                          <w:r w:rsidRPr="00886B90"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 xml:space="preserve">         z dnia</w:t>
                          </w:r>
                          <w:r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 xml:space="preserve"> 5.05.2025 r.</w:t>
                          </w:r>
                          <w:r w:rsidRPr="00886B90">
                            <w:rPr>
                              <w:rFonts w:ascii="DIN Next LT Pro Light" w:hAnsi="DIN Next LT Pro Light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CE04C9" w:rsidRDefault="00CE04C9" w:rsidP="00541146"/>
                        <w:p w:rsidR="00CE04C9" w:rsidRPr="007A50EE" w:rsidRDefault="00CE04C9" w:rsidP="005411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5.7pt;margin-top:4.95pt;width:190.95pt;height:5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" stroked="f">
              <v:textbox>
                <w:txbxContent>
                  <w:p w:rsidR="00CE04C9" w:rsidRPr="00886B90" w:rsidRDefault="00CE04C9" w:rsidP="00541146">
                    <w:pPr>
                      <w:pStyle w:val="Tytu"/>
                      <w:jc w:val="right"/>
                      <w:rPr>
                        <w:rFonts w:ascii="DIN Next LT Pro Light" w:hAnsi="DIN Next LT Pro Light"/>
                        <w:sz w:val="18"/>
                        <w:szCs w:val="18"/>
                      </w:rPr>
                    </w:pPr>
                    <w:r w:rsidRPr="00886B90">
                      <w:rPr>
                        <w:rFonts w:ascii="DIN Next LT Pro Light" w:hAnsi="DIN Next LT Pro Light"/>
                        <w:sz w:val="18"/>
                        <w:szCs w:val="18"/>
                      </w:rPr>
                      <w:t xml:space="preserve">Załącznik </w:t>
                    </w:r>
                    <w:r>
                      <w:rPr>
                        <w:rFonts w:ascii="DIN Next LT Pro Light" w:hAnsi="DIN Next LT Pro Light"/>
                        <w:sz w:val="18"/>
                        <w:szCs w:val="18"/>
                      </w:rPr>
                      <w:t>n</w:t>
                    </w:r>
                    <w:r w:rsidRPr="00886B90">
                      <w:rPr>
                        <w:rFonts w:ascii="DIN Next LT Pro Light" w:hAnsi="DIN Next LT Pro Light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DIN Next LT Pro Light" w:hAnsi="DIN Next LT Pro Light"/>
                        <w:sz w:val="18"/>
                        <w:szCs w:val="18"/>
                      </w:rPr>
                      <w:t xml:space="preserve"> 1</w:t>
                    </w:r>
                    <w:r w:rsidRPr="00886B90">
                      <w:rPr>
                        <w:rFonts w:ascii="DIN Next LT Pro Light" w:hAnsi="DIN Next LT Pro Light"/>
                        <w:sz w:val="18"/>
                        <w:szCs w:val="18"/>
                      </w:rPr>
                      <w:t xml:space="preserve"> </w:t>
                    </w:r>
                  </w:p>
                  <w:p w:rsidR="00CE04C9" w:rsidRPr="00886B90" w:rsidRDefault="00CE04C9" w:rsidP="00541146">
                    <w:pPr>
                      <w:pStyle w:val="Tytu"/>
                      <w:jc w:val="right"/>
                      <w:rPr>
                        <w:rFonts w:ascii="DIN Next LT Pro Light" w:hAnsi="DIN Next LT Pro Light"/>
                        <w:sz w:val="18"/>
                        <w:szCs w:val="18"/>
                      </w:rPr>
                    </w:pPr>
                    <w:r w:rsidRPr="00886B90">
                      <w:rPr>
                        <w:rFonts w:ascii="DIN Next LT Pro Light" w:hAnsi="DIN Next LT Pro Light"/>
                        <w:sz w:val="18"/>
                        <w:szCs w:val="18"/>
                      </w:rPr>
                      <w:t>do Uchwały Rady Społecznej nr</w:t>
                    </w:r>
                    <w:r>
                      <w:rPr>
                        <w:rFonts w:ascii="DIN Next LT Pro Light" w:hAnsi="DIN Next LT Pro Light"/>
                        <w:sz w:val="18"/>
                        <w:szCs w:val="18"/>
                      </w:rPr>
                      <w:t xml:space="preserve"> </w:t>
                    </w:r>
                    <w:r w:rsidR="001F63AD">
                      <w:rPr>
                        <w:rFonts w:ascii="DIN Next LT Pro Light" w:hAnsi="DIN Next LT Pro Light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DIN Next LT Pro Light" w:hAnsi="DIN Next LT Pro Light"/>
                        <w:sz w:val="18"/>
                        <w:szCs w:val="18"/>
                      </w:rPr>
                      <w:t>/2025</w:t>
                    </w:r>
                    <w:r w:rsidRPr="00886B90">
                      <w:rPr>
                        <w:rFonts w:ascii="DIN Next LT Pro Light" w:hAnsi="DIN Next LT Pro Light"/>
                        <w:sz w:val="18"/>
                        <w:szCs w:val="18"/>
                      </w:rPr>
                      <w:t xml:space="preserve"> </w:t>
                    </w:r>
                  </w:p>
                  <w:p w:rsidR="00CE04C9" w:rsidRPr="00886B90" w:rsidRDefault="00CE04C9" w:rsidP="00A614AE">
                    <w:pPr>
                      <w:pStyle w:val="Tytu"/>
                      <w:jc w:val="right"/>
                      <w:rPr>
                        <w:rFonts w:ascii="DIN Next LT Pro Light" w:hAnsi="DIN Next LT Pro Light"/>
                        <w:sz w:val="18"/>
                        <w:szCs w:val="18"/>
                      </w:rPr>
                    </w:pPr>
                    <w:r w:rsidRPr="00886B90">
                      <w:rPr>
                        <w:rFonts w:ascii="DIN Next LT Pro Light" w:hAnsi="DIN Next LT Pro Light"/>
                        <w:sz w:val="18"/>
                        <w:szCs w:val="18"/>
                      </w:rPr>
                      <w:t xml:space="preserve">         z dnia</w:t>
                    </w:r>
                    <w:r>
                      <w:rPr>
                        <w:rFonts w:ascii="DIN Next LT Pro Light" w:hAnsi="DIN Next LT Pro Light"/>
                        <w:sz w:val="18"/>
                        <w:szCs w:val="18"/>
                      </w:rPr>
                      <w:t xml:space="preserve"> 5.05.2025 r.</w:t>
                    </w:r>
                    <w:r w:rsidRPr="00886B90">
                      <w:rPr>
                        <w:rFonts w:ascii="DIN Next LT Pro Light" w:hAnsi="DIN Next LT Pro Light"/>
                        <w:sz w:val="18"/>
                        <w:szCs w:val="18"/>
                      </w:rPr>
                      <w:t xml:space="preserve"> </w:t>
                    </w:r>
                  </w:p>
                  <w:p w:rsidR="00CE04C9" w:rsidRDefault="00CE04C9" w:rsidP="00541146"/>
                  <w:p w:rsidR="00CE04C9" w:rsidRPr="007A50EE" w:rsidRDefault="00CE04C9" w:rsidP="00541146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190750" cy="1085850"/>
          <wp:effectExtent l="19050" t="0" r="0" b="0"/>
          <wp:docPr id="1" name="Obraz 4" descr="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C9" w:rsidRPr="0097223C" w:rsidRDefault="00CE04C9" w:rsidP="00972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3A8FD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22543E90"/>
    <w:name w:val="Outline"/>
    <w:lvl w:ilvl="0">
      <w:start w:val="1"/>
      <w:numFmt w:val="decimal"/>
      <w:lvlText w:val="%1."/>
      <w:lvlJc w:val="left"/>
      <w:pPr>
        <w:tabs>
          <w:tab w:val="num" w:pos="6377"/>
        </w:tabs>
        <w:ind w:left="637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377"/>
        </w:tabs>
        <w:ind w:left="6377" w:firstLine="0"/>
      </w:pPr>
    </w:lvl>
  </w:abstractNum>
  <w:abstractNum w:abstractNumId="2" w15:restartNumberingAfterBreak="0">
    <w:nsid w:val="005F5C38"/>
    <w:multiLevelType w:val="hybridMultilevel"/>
    <w:tmpl w:val="1C065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56F16"/>
    <w:multiLevelType w:val="hybridMultilevel"/>
    <w:tmpl w:val="FA3A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4CFA"/>
    <w:multiLevelType w:val="hybridMultilevel"/>
    <w:tmpl w:val="F5CEA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277"/>
    <w:multiLevelType w:val="hybridMultilevel"/>
    <w:tmpl w:val="60562834"/>
    <w:lvl w:ilvl="0" w:tplc="1170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13DA"/>
    <w:multiLevelType w:val="hybridMultilevel"/>
    <w:tmpl w:val="F5CEA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787B"/>
    <w:multiLevelType w:val="hybridMultilevel"/>
    <w:tmpl w:val="6F462EAA"/>
    <w:lvl w:ilvl="0" w:tplc="8B8C15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D023C"/>
    <w:multiLevelType w:val="multilevel"/>
    <w:tmpl w:val="1456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AE40BF"/>
    <w:multiLevelType w:val="hybridMultilevel"/>
    <w:tmpl w:val="47AE7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26B"/>
    <w:multiLevelType w:val="multilevel"/>
    <w:tmpl w:val="4EA22A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622C2"/>
    <w:multiLevelType w:val="hybridMultilevel"/>
    <w:tmpl w:val="2DA22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444C2"/>
    <w:multiLevelType w:val="hybridMultilevel"/>
    <w:tmpl w:val="11F6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F5597"/>
    <w:multiLevelType w:val="multilevel"/>
    <w:tmpl w:val="B53E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13F43"/>
    <w:multiLevelType w:val="hybridMultilevel"/>
    <w:tmpl w:val="8152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7174"/>
    <w:multiLevelType w:val="multilevel"/>
    <w:tmpl w:val="6194EC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B2F1D"/>
    <w:multiLevelType w:val="hybridMultilevel"/>
    <w:tmpl w:val="3BF8E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A3565"/>
    <w:multiLevelType w:val="hybridMultilevel"/>
    <w:tmpl w:val="E1D682D4"/>
    <w:lvl w:ilvl="0" w:tplc="AAA27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661B7"/>
    <w:multiLevelType w:val="multilevel"/>
    <w:tmpl w:val="6A1AF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3D5658C7"/>
    <w:multiLevelType w:val="hybridMultilevel"/>
    <w:tmpl w:val="345A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60CD1"/>
    <w:multiLevelType w:val="singleLevel"/>
    <w:tmpl w:val="794824BC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4F8B5D6D"/>
    <w:multiLevelType w:val="multilevel"/>
    <w:tmpl w:val="06925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6C5773"/>
    <w:multiLevelType w:val="hybridMultilevel"/>
    <w:tmpl w:val="518E4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23710"/>
    <w:multiLevelType w:val="hybridMultilevel"/>
    <w:tmpl w:val="4DE81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671BF"/>
    <w:multiLevelType w:val="hybridMultilevel"/>
    <w:tmpl w:val="0E426F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253E09"/>
    <w:multiLevelType w:val="multilevel"/>
    <w:tmpl w:val="5FC6A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B645B"/>
    <w:multiLevelType w:val="multilevel"/>
    <w:tmpl w:val="9E56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D2B8D"/>
    <w:multiLevelType w:val="hybridMultilevel"/>
    <w:tmpl w:val="001A5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83593"/>
    <w:multiLevelType w:val="hybridMultilevel"/>
    <w:tmpl w:val="E88CF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7419A"/>
    <w:multiLevelType w:val="multilevel"/>
    <w:tmpl w:val="08D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41E49"/>
    <w:multiLevelType w:val="multilevel"/>
    <w:tmpl w:val="414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3C7F89"/>
    <w:multiLevelType w:val="multilevel"/>
    <w:tmpl w:val="1456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61AD3"/>
    <w:multiLevelType w:val="hybridMultilevel"/>
    <w:tmpl w:val="9296308C"/>
    <w:lvl w:ilvl="0" w:tplc="BDDE84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C3671"/>
    <w:multiLevelType w:val="hybridMultilevel"/>
    <w:tmpl w:val="7D7093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5A667B"/>
    <w:multiLevelType w:val="hybridMultilevel"/>
    <w:tmpl w:val="9D22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33031"/>
    <w:multiLevelType w:val="hybridMultilevel"/>
    <w:tmpl w:val="C8BC4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2DC3"/>
    <w:multiLevelType w:val="hybridMultilevel"/>
    <w:tmpl w:val="9176D9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20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9">
    <w:abstractNumId w:val="27"/>
  </w:num>
  <w:num w:numId="10">
    <w:abstractNumId w:val="18"/>
  </w:num>
  <w:num w:numId="11">
    <w:abstractNumId w:val="5"/>
  </w:num>
  <w:num w:numId="12">
    <w:abstractNumId w:val="3"/>
  </w:num>
  <w:num w:numId="13">
    <w:abstractNumId w:val="35"/>
  </w:num>
  <w:num w:numId="14">
    <w:abstractNumId w:val="17"/>
  </w:num>
  <w:num w:numId="15">
    <w:abstractNumId w:val="19"/>
  </w:num>
  <w:num w:numId="16">
    <w:abstractNumId w:val="32"/>
  </w:num>
  <w:num w:numId="17">
    <w:abstractNumId w:val="22"/>
  </w:num>
  <w:num w:numId="18">
    <w:abstractNumId w:val="16"/>
  </w:num>
  <w:num w:numId="19">
    <w:abstractNumId w:val="7"/>
  </w:num>
  <w:num w:numId="20">
    <w:abstractNumId w:val="6"/>
  </w:num>
  <w:num w:numId="21">
    <w:abstractNumId w:val="28"/>
  </w:num>
  <w:num w:numId="22">
    <w:abstractNumId w:val="34"/>
  </w:num>
  <w:num w:numId="23">
    <w:abstractNumId w:val="14"/>
  </w:num>
  <w:num w:numId="24">
    <w:abstractNumId w:val="12"/>
  </w:num>
  <w:num w:numId="25">
    <w:abstractNumId w:val="31"/>
  </w:num>
  <w:num w:numId="26">
    <w:abstractNumId w:val="29"/>
  </w:num>
  <w:num w:numId="27">
    <w:abstractNumId w:val="8"/>
  </w:num>
  <w:num w:numId="28">
    <w:abstractNumId w:val="10"/>
  </w:num>
  <w:num w:numId="29">
    <w:abstractNumId w:val="26"/>
  </w:num>
  <w:num w:numId="30">
    <w:abstractNumId w:val="15"/>
  </w:num>
  <w:num w:numId="31">
    <w:abstractNumId w:val="13"/>
  </w:num>
  <w:num w:numId="32">
    <w:abstractNumId w:val="30"/>
  </w:num>
  <w:num w:numId="33">
    <w:abstractNumId w:val="25"/>
  </w:num>
  <w:num w:numId="34">
    <w:abstractNumId w:val="33"/>
  </w:num>
  <w:num w:numId="35">
    <w:abstractNumId w:val="24"/>
  </w:num>
  <w:num w:numId="36">
    <w:abstractNumId w:val="23"/>
  </w:num>
  <w:num w:numId="37">
    <w:abstractNumId w:val="3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D0"/>
    <w:rsid w:val="00000B6B"/>
    <w:rsid w:val="00004342"/>
    <w:rsid w:val="00006EE3"/>
    <w:rsid w:val="000079DC"/>
    <w:rsid w:val="000113AB"/>
    <w:rsid w:val="00012E9D"/>
    <w:rsid w:val="0001533D"/>
    <w:rsid w:val="00015686"/>
    <w:rsid w:val="00015BB0"/>
    <w:rsid w:val="00015F1C"/>
    <w:rsid w:val="00030FAB"/>
    <w:rsid w:val="000333F6"/>
    <w:rsid w:val="00033D48"/>
    <w:rsid w:val="000366FE"/>
    <w:rsid w:val="0004203F"/>
    <w:rsid w:val="0004372A"/>
    <w:rsid w:val="00044B1B"/>
    <w:rsid w:val="00045A60"/>
    <w:rsid w:val="000476C4"/>
    <w:rsid w:val="0005033F"/>
    <w:rsid w:val="00050DC8"/>
    <w:rsid w:val="00051F3F"/>
    <w:rsid w:val="000525EC"/>
    <w:rsid w:val="0005262D"/>
    <w:rsid w:val="000532A4"/>
    <w:rsid w:val="000534A8"/>
    <w:rsid w:val="00062265"/>
    <w:rsid w:val="000656DC"/>
    <w:rsid w:val="0007176A"/>
    <w:rsid w:val="0007247D"/>
    <w:rsid w:val="00073F2B"/>
    <w:rsid w:val="00075097"/>
    <w:rsid w:val="000771B2"/>
    <w:rsid w:val="000813DF"/>
    <w:rsid w:val="00081AF0"/>
    <w:rsid w:val="00082555"/>
    <w:rsid w:val="0008351E"/>
    <w:rsid w:val="0008363F"/>
    <w:rsid w:val="000837C5"/>
    <w:rsid w:val="000853BD"/>
    <w:rsid w:val="000856DC"/>
    <w:rsid w:val="000858E2"/>
    <w:rsid w:val="0008732F"/>
    <w:rsid w:val="00091486"/>
    <w:rsid w:val="0009357F"/>
    <w:rsid w:val="0009424A"/>
    <w:rsid w:val="000970B9"/>
    <w:rsid w:val="000A1519"/>
    <w:rsid w:val="000A2098"/>
    <w:rsid w:val="000A29EC"/>
    <w:rsid w:val="000A2D9B"/>
    <w:rsid w:val="000B227B"/>
    <w:rsid w:val="000B2751"/>
    <w:rsid w:val="000B2791"/>
    <w:rsid w:val="000B5A45"/>
    <w:rsid w:val="000C0721"/>
    <w:rsid w:val="000D15F6"/>
    <w:rsid w:val="000D2926"/>
    <w:rsid w:val="000D5ECA"/>
    <w:rsid w:val="000D7886"/>
    <w:rsid w:val="000D799C"/>
    <w:rsid w:val="000E4201"/>
    <w:rsid w:val="000E59B7"/>
    <w:rsid w:val="000F05D4"/>
    <w:rsid w:val="000F24FE"/>
    <w:rsid w:val="000F3521"/>
    <w:rsid w:val="000F6341"/>
    <w:rsid w:val="00100CD5"/>
    <w:rsid w:val="0010524B"/>
    <w:rsid w:val="00105797"/>
    <w:rsid w:val="001166E7"/>
    <w:rsid w:val="00123A66"/>
    <w:rsid w:val="001246CF"/>
    <w:rsid w:val="00124878"/>
    <w:rsid w:val="00124C32"/>
    <w:rsid w:val="00124C85"/>
    <w:rsid w:val="00125A1A"/>
    <w:rsid w:val="00135E2A"/>
    <w:rsid w:val="00137AEB"/>
    <w:rsid w:val="00150106"/>
    <w:rsid w:val="00150D85"/>
    <w:rsid w:val="001523B3"/>
    <w:rsid w:val="00152D3A"/>
    <w:rsid w:val="00153067"/>
    <w:rsid w:val="001564D3"/>
    <w:rsid w:val="00157429"/>
    <w:rsid w:val="00157FF9"/>
    <w:rsid w:val="00170A43"/>
    <w:rsid w:val="00183CAF"/>
    <w:rsid w:val="00190942"/>
    <w:rsid w:val="00196221"/>
    <w:rsid w:val="001A03BA"/>
    <w:rsid w:val="001A0FE4"/>
    <w:rsid w:val="001A1A9A"/>
    <w:rsid w:val="001A2C99"/>
    <w:rsid w:val="001B13C1"/>
    <w:rsid w:val="001B2E66"/>
    <w:rsid w:val="001B4BFD"/>
    <w:rsid w:val="001B7B7E"/>
    <w:rsid w:val="001C1685"/>
    <w:rsid w:val="001C25E7"/>
    <w:rsid w:val="001C2B42"/>
    <w:rsid w:val="001C38F9"/>
    <w:rsid w:val="001C653E"/>
    <w:rsid w:val="001C6A8D"/>
    <w:rsid w:val="001D0744"/>
    <w:rsid w:val="001D07D0"/>
    <w:rsid w:val="001D114B"/>
    <w:rsid w:val="001D1224"/>
    <w:rsid w:val="001D25E9"/>
    <w:rsid w:val="001D3F2B"/>
    <w:rsid w:val="001D51F0"/>
    <w:rsid w:val="001D5CD5"/>
    <w:rsid w:val="001D6067"/>
    <w:rsid w:val="001D7AA2"/>
    <w:rsid w:val="001E00D1"/>
    <w:rsid w:val="001E2265"/>
    <w:rsid w:val="001E3452"/>
    <w:rsid w:val="001E3FCA"/>
    <w:rsid w:val="001E4A49"/>
    <w:rsid w:val="001E5A94"/>
    <w:rsid w:val="001E5FE0"/>
    <w:rsid w:val="001F4109"/>
    <w:rsid w:val="001F6251"/>
    <w:rsid w:val="001F63AD"/>
    <w:rsid w:val="001F74D9"/>
    <w:rsid w:val="002059DE"/>
    <w:rsid w:val="00206F2E"/>
    <w:rsid w:val="00210749"/>
    <w:rsid w:val="0021352C"/>
    <w:rsid w:val="0021687F"/>
    <w:rsid w:val="00216CB7"/>
    <w:rsid w:val="00220946"/>
    <w:rsid w:val="0022113C"/>
    <w:rsid w:val="00225D44"/>
    <w:rsid w:val="00230595"/>
    <w:rsid w:val="0023133A"/>
    <w:rsid w:val="00232233"/>
    <w:rsid w:val="00236F95"/>
    <w:rsid w:val="0024154B"/>
    <w:rsid w:val="002435D6"/>
    <w:rsid w:val="00243949"/>
    <w:rsid w:val="002458F1"/>
    <w:rsid w:val="00253C89"/>
    <w:rsid w:val="0025562A"/>
    <w:rsid w:val="002647D6"/>
    <w:rsid w:val="00274DFA"/>
    <w:rsid w:val="00275BD7"/>
    <w:rsid w:val="00276090"/>
    <w:rsid w:val="00281D90"/>
    <w:rsid w:val="00281D91"/>
    <w:rsid w:val="00284E4F"/>
    <w:rsid w:val="00285369"/>
    <w:rsid w:val="00285D1C"/>
    <w:rsid w:val="0029074D"/>
    <w:rsid w:val="00291D25"/>
    <w:rsid w:val="00294834"/>
    <w:rsid w:val="00294DE3"/>
    <w:rsid w:val="002970C7"/>
    <w:rsid w:val="002A12C4"/>
    <w:rsid w:val="002A4AAD"/>
    <w:rsid w:val="002A58B4"/>
    <w:rsid w:val="002A69E5"/>
    <w:rsid w:val="002B224D"/>
    <w:rsid w:val="002B56AB"/>
    <w:rsid w:val="002B5AE1"/>
    <w:rsid w:val="002E03E0"/>
    <w:rsid w:val="002E40DE"/>
    <w:rsid w:val="002E447C"/>
    <w:rsid w:val="002E543A"/>
    <w:rsid w:val="002F4735"/>
    <w:rsid w:val="002F4EDF"/>
    <w:rsid w:val="0030057E"/>
    <w:rsid w:val="003011D6"/>
    <w:rsid w:val="003027A5"/>
    <w:rsid w:val="003040E3"/>
    <w:rsid w:val="00305A15"/>
    <w:rsid w:val="00306870"/>
    <w:rsid w:val="0030737A"/>
    <w:rsid w:val="00315807"/>
    <w:rsid w:val="003159B0"/>
    <w:rsid w:val="003159E9"/>
    <w:rsid w:val="003178FC"/>
    <w:rsid w:val="003223B6"/>
    <w:rsid w:val="003226CA"/>
    <w:rsid w:val="00323EA4"/>
    <w:rsid w:val="003255BE"/>
    <w:rsid w:val="0032665D"/>
    <w:rsid w:val="003266DA"/>
    <w:rsid w:val="003276CB"/>
    <w:rsid w:val="00327BCF"/>
    <w:rsid w:val="003313AB"/>
    <w:rsid w:val="0033185D"/>
    <w:rsid w:val="00332672"/>
    <w:rsid w:val="00342897"/>
    <w:rsid w:val="00342B84"/>
    <w:rsid w:val="00342FAF"/>
    <w:rsid w:val="003517B0"/>
    <w:rsid w:val="00353230"/>
    <w:rsid w:val="0035354E"/>
    <w:rsid w:val="0035410E"/>
    <w:rsid w:val="003562A6"/>
    <w:rsid w:val="00361F54"/>
    <w:rsid w:val="00364D57"/>
    <w:rsid w:val="0037243E"/>
    <w:rsid w:val="00375F5D"/>
    <w:rsid w:val="00380862"/>
    <w:rsid w:val="00384713"/>
    <w:rsid w:val="00387551"/>
    <w:rsid w:val="003932DF"/>
    <w:rsid w:val="00393739"/>
    <w:rsid w:val="00394E10"/>
    <w:rsid w:val="00396937"/>
    <w:rsid w:val="003A2662"/>
    <w:rsid w:val="003A2809"/>
    <w:rsid w:val="003A5908"/>
    <w:rsid w:val="003B4DA7"/>
    <w:rsid w:val="003B5943"/>
    <w:rsid w:val="003C0D04"/>
    <w:rsid w:val="003C0ED5"/>
    <w:rsid w:val="003C1925"/>
    <w:rsid w:val="003C2C66"/>
    <w:rsid w:val="003D1B9F"/>
    <w:rsid w:val="003D214E"/>
    <w:rsid w:val="003D4058"/>
    <w:rsid w:val="003D446A"/>
    <w:rsid w:val="003D50A7"/>
    <w:rsid w:val="003E19CD"/>
    <w:rsid w:val="003E409D"/>
    <w:rsid w:val="003E495F"/>
    <w:rsid w:val="003E4DDC"/>
    <w:rsid w:val="003E716E"/>
    <w:rsid w:val="003F1B4B"/>
    <w:rsid w:val="003F45BD"/>
    <w:rsid w:val="003F6753"/>
    <w:rsid w:val="003F74CE"/>
    <w:rsid w:val="00400341"/>
    <w:rsid w:val="00401466"/>
    <w:rsid w:val="004022DD"/>
    <w:rsid w:val="00404C8D"/>
    <w:rsid w:val="00410BF7"/>
    <w:rsid w:val="00415FF6"/>
    <w:rsid w:val="00417ED3"/>
    <w:rsid w:val="00421BE4"/>
    <w:rsid w:val="00440937"/>
    <w:rsid w:val="004474A3"/>
    <w:rsid w:val="00453C91"/>
    <w:rsid w:val="00455BAC"/>
    <w:rsid w:val="0046358E"/>
    <w:rsid w:val="00471176"/>
    <w:rsid w:val="00487290"/>
    <w:rsid w:val="00492A4A"/>
    <w:rsid w:val="00496282"/>
    <w:rsid w:val="00497845"/>
    <w:rsid w:val="00497F61"/>
    <w:rsid w:val="004A3317"/>
    <w:rsid w:val="004B0246"/>
    <w:rsid w:val="004B0A71"/>
    <w:rsid w:val="004B349B"/>
    <w:rsid w:val="004B38A0"/>
    <w:rsid w:val="004B604D"/>
    <w:rsid w:val="004B718B"/>
    <w:rsid w:val="004B72D6"/>
    <w:rsid w:val="004B7D73"/>
    <w:rsid w:val="004C295C"/>
    <w:rsid w:val="004C44AF"/>
    <w:rsid w:val="004C495E"/>
    <w:rsid w:val="004C51C1"/>
    <w:rsid w:val="004C55C6"/>
    <w:rsid w:val="004D0C23"/>
    <w:rsid w:val="004D1D24"/>
    <w:rsid w:val="004D4B70"/>
    <w:rsid w:val="004D50B0"/>
    <w:rsid w:val="004D7688"/>
    <w:rsid w:val="004E2BEB"/>
    <w:rsid w:val="004F2772"/>
    <w:rsid w:val="004F2F55"/>
    <w:rsid w:val="00506816"/>
    <w:rsid w:val="00513246"/>
    <w:rsid w:val="00513987"/>
    <w:rsid w:val="005147BB"/>
    <w:rsid w:val="005149B4"/>
    <w:rsid w:val="005149CB"/>
    <w:rsid w:val="00514CE6"/>
    <w:rsid w:val="005154A9"/>
    <w:rsid w:val="0052198D"/>
    <w:rsid w:val="005231E8"/>
    <w:rsid w:val="005302B2"/>
    <w:rsid w:val="00531534"/>
    <w:rsid w:val="00531FCF"/>
    <w:rsid w:val="00540BCA"/>
    <w:rsid w:val="00541146"/>
    <w:rsid w:val="00543419"/>
    <w:rsid w:val="00551607"/>
    <w:rsid w:val="0055257C"/>
    <w:rsid w:val="00554CCC"/>
    <w:rsid w:val="005554F5"/>
    <w:rsid w:val="005565FE"/>
    <w:rsid w:val="005570B4"/>
    <w:rsid w:val="00560EC8"/>
    <w:rsid w:val="0056364D"/>
    <w:rsid w:val="00566830"/>
    <w:rsid w:val="005717EF"/>
    <w:rsid w:val="005729AA"/>
    <w:rsid w:val="0057664C"/>
    <w:rsid w:val="005831BD"/>
    <w:rsid w:val="00585B2E"/>
    <w:rsid w:val="00590270"/>
    <w:rsid w:val="00595BC4"/>
    <w:rsid w:val="0059607A"/>
    <w:rsid w:val="00596832"/>
    <w:rsid w:val="00596A12"/>
    <w:rsid w:val="005A238F"/>
    <w:rsid w:val="005A3F1F"/>
    <w:rsid w:val="005A6461"/>
    <w:rsid w:val="005B29C5"/>
    <w:rsid w:val="005B38C9"/>
    <w:rsid w:val="005B5977"/>
    <w:rsid w:val="005C557F"/>
    <w:rsid w:val="005D2228"/>
    <w:rsid w:val="005D294B"/>
    <w:rsid w:val="005D521B"/>
    <w:rsid w:val="005D5560"/>
    <w:rsid w:val="005D5ECB"/>
    <w:rsid w:val="005D6837"/>
    <w:rsid w:val="005E1795"/>
    <w:rsid w:val="005E1EC1"/>
    <w:rsid w:val="005E2A40"/>
    <w:rsid w:val="005E4E16"/>
    <w:rsid w:val="005E725F"/>
    <w:rsid w:val="005E7E42"/>
    <w:rsid w:val="005F1193"/>
    <w:rsid w:val="005F1AD6"/>
    <w:rsid w:val="005F2303"/>
    <w:rsid w:val="005F41E8"/>
    <w:rsid w:val="005F4599"/>
    <w:rsid w:val="005F75C3"/>
    <w:rsid w:val="005F764D"/>
    <w:rsid w:val="005F77B6"/>
    <w:rsid w:val="00600D32"/>
    <w:rsid w:val="00601841"/>
    <w:rsid w:val="00601FA9"/>
    <w:rsid w:val="00612561"/>
    <w:rsid w:val="00616474"/>
    <w:rsid w:val="006173AD"/>
    <w:rsid w:val="00617865"/>
    <w:rsid w:val="006208AC"/>
    <w:rsid w:val="00623148"/>
    <w:rsid w:val="00626F7D"/>
    <w:rsid w:val="00627240"/>
    <w:rsid w:val="0062749D"/>
    <w:rsid w:val="00633B2A"/>
    <w:rsid w:val="00640EEE"/>
    <w:rsid w:val="00640F03"/>
    <w:rsid w:val="006434EA"/>
    <w:rsid w:val="006434F0"/>
    <w:rsid w:val="0064463E"/>
    <w:rsid w:val="006464D0"/>
    <w:rsid w:val="0064781C"/>
    <w:rsid w:val="0065377A"/>
    <w:rsid w:val="00654E7F"/>
    <w:rsid w:val="0065598A"/>
    <w:rsid w:val="0065630B"/>
    <w:rsid w:val="00662733"/>
    <w:rsid w:val="00666F88"/>
    <w:rsid w:val="006722D1"/>
    <w:rsid w:val="00675FA0"/>
    <w:rsid w:val="00677399"/>
    <w:rsid w:val="006812F1"/>
    <w:rsid w:val="006857E2"/>
    <w:rsid w:val="00685FCA"/>
    <w:rsid w:val="006863B5"/>
    <w:rsid w:val="00687DF6"/>
    <w:rsid w:val="00690CD5"/>
    <w:rsid w:val="00693A96"/>
    <w:rsid w:val="00695064"/>
    <w:rsid w:val="00696CCD"/>
    <w:rsid w:val="00696FA9"/>
    <w:rsid w:val="006A02F0"/>
    <w:rsid w:val="006A0664"/>
    <w:rsid w:val="006A46DB"/>
    <w:rsid w:val="006A4C20"/>
    <w:rsid w:val="006A506C"/>
    <w:rsid w:val="006A52FB"/>
    <w:rsid w:val="006A7D5D"/>
    <w:rsid w:val="006B1630"/>
    <w:rsid w:val="006B2612"/>
    <w:rsid w:val="006B5E6A"/>
    <w:rsid w:val="006C379E"/>
    <w:rsid w:val="006C55ED"/>
    <w:rsid w:val="006C6031"/>
    <w:rsid w:val="006C634F"/>
    <w:rsid w:val="006C6B08"/>
    <w:rsid w:val="006C7C04"/>
    <w:rsid w:val="006D0309"/>
    <w:rsid w:val="006D2E7E"/>
    <w:rsid w:val="006D33BE"/>
    <w:rsid w:val="006D362F"/>
    <w:rsid w:val="006D72EF"/>
    <w:rsid w:val="006E086C"/>
    <w:rsid w:val="006E2137"/>
    <w:rsid w:val="006E51A3"/>
    <w:rsid w:val="006E73FC"/>
    <w:rsid w:val="006E7D0C"/>
    <w:rsid w:val="006E7F89"/>
    <w:rsid w:val="006F004E"/>
    <w:rsid w:val="00704368"/>
    <w:rsid w:val="0070578A"/>
    <w:rsid w:val="0070682A"/>
    <w:rsid w:val="00710686"/>
    <w:rsid w:val="00712249"/>
    <w:rsid w:val="00713A52"/>
    <w:rsid w:val="00713C9B"/>
    <w:rsid w:val="00720A06"/>
    <w:rsid w:val="00722234"/>
    <w:rsid w:val="00724536"/>
    <w:rsid w:val="00724A1A"/>
    <w:rsid w:val="007326EC"/>
    <w:rsid w:val="00734B98"/>
    <w:rsid w:val="00737053"/>
    <w:rsid w:val="00740EFD"/>
    <w:rsid w:val="007421C0"/>
    <w:rsid w:val="00743034"/>
    <w:rsid w:val="0074336B"/>
    <w:rsid w:val="007542F9"/>
    <w:rsid w:val="00757238"/>
    <w:rsid w:val="00757E07"/>
    <w:rsid w:val="00761340"/>
    <w:rsid w:val="007614E5"/>
    <w:rsid w:val="00762A3D"/>
    <w:rsid w:val="007634EF"/>
    <w:rsid w:val="00771C17"/>
    <w:rsid w:val="00775360"/>
    <w:rsid w:val="00780332"/>
    <w:rsid w:val="007806A4"/>
    <w:rsid w:val="007828B3"/>
    <w:rsid w:val="007833F9"/>
    <w:rsid w:val="0078539D"/>
    <w:rsid w:val="00787890"/>
    <w:rsid w:val="007903BC"/>
    <w:rsid w:val="0079055A"/>
    <w:rsid w:val="007907B5"/>
    <w:rsid w:val="007927CA"/>
    <w:rsid w:val="00792944"/>
    <w:rsid w:val="0079708E"/>
    <w:rsid w:val="007A0E40"/>
    <w:rsid w:val="007A2F42"/>
    <w:rsid w:val="007A497D"/>
    <w:rsid w:val="007A7E29"/>
    <w:rsid w:val="007B5FAA"/>
    <w:rsid w:val="007B689B"/>
    <w:rsid w:val="007B7138"/>
    <w:rsid w:val="007C0375"/>
    <w:rsid w:val="007C0E60"/>
    <w:rsid w:val="007C5B13"/>
    <w:rsid w:val="007C66EE"/>
    <w:rsid w:val="007C6C08"/>
    <w:rsid w:val="007D297B"/>
    <w:rsid w:val="007D4476"/>
    <w:rsid w:val="007D4B0E"/>
    <w:rsid w:val="007E1EA1"/>
    <w:rsid w:val="007E2B65"/>
    <w:rsid w:val="007E4A00"/>
    <w:rsid w:val="007E5E10"/>
    <w:rsid w:val="007F132E"/>
    <w:rsid w:val="007F1800"/>
    <w:rsid w:val="00801806"/>
    <w:rsid w:val="008021EB"/>
    <w:rsid w:val="00806908"/>
    <w:rsid w:val="008114FE"/>
    <w:rsid w:val="0081192B"/>
    <w:rsid w:val="0081234D"/>
    <w:rsid w:val="00812AA1"/>
    <w:rsid w:val="00814B55"/>
    <w:rsid w:val="008159F1"/>
    <w:rsid w:val="00821B3B"/>
    <w:rsid w:val="00826A27"/>
    <w:rsid w:val="00831EE8"/>
    <w:rsid w:val="00835E77"/>
    <w:rsid w:val="00836409"/>
    <w:rsid w:val="00844E07"/>
    <w:rsid w:val="00854D82"/>
    <w:rsid w:val="008555A3"/>
    <w:rsid w:val="00861CD5"/>
    <w:rsid w:val="00862584"/>
    <w:rsid w:val="008636CA"/>
    <w:rsid w:val="00864167"/>
    <w:rsid w:val="008651B5"/>
    <w:rsid w:val="008656CB"/>
    <w:rsid w:val="00872F52"/>
    <w:rsid w:val="008737CB"/>
    <w:rsid w:val="008745AF"/>
    <w:rsid w:val="00881AAC"/>
    <w:rsid w:val="00881D43"/>
    <w:rsid w:val="008839A4"/>
    <w:rsid w:val="00885ED0"/>
    <w:rsid w:val="0088694F"/>
    <w:rsid w:val="00886B90"/>
    <w:rsid w:val="00890781"/>
    <w:rsid w:val="00891898"/>
    <w:rsid w:val="008A2D16"/>
    <w:rsid w:val="008A2E73"/>
    <w:rsid w:val="008A51E5"/>
    <w:rsid w:val="008A5853"/>
    <w:rsid w:val="008A5BCF"/>
    <w:rsid w:val="008B1042"/>
    <w:rsid w:val="008B1985"/>
    <w:rsid w:val="008C720B"/>
    <w:rsid w:val="008D02E6"/>
    <w:rsid w:val="008D03D1"/>
    <w:rsid w:val="008D0CE3"/>
    <w:rsid w:val="008D1DBA"/>
    <w:rsid w:val="008D5E71"/>
    <w:rsid w:val="008E05C5"/>
    <w:rsid w:val="008E628E"/>
    <w:rsid w:val="008F012A"/>
    <w:rsid w:val="008F10C9"/>
    <w:rsid w:val="008F25D4"/>
    <w:rsid w:val="008F3CA1"/>
    <w:rsid w:val="008F42CC"/>
    <w:rsid w:val="008F49E5"/>
    <w:rsid w:val="00903A15"/>
    <w:rsid w:val="00906192"/>
    <w:rsid w:val="00911FCE"/>
    <w:rsid w:val="009140DA"/>
    <w:rsid w:val="00914458"/>
    <w:rsid w:val="0091553A"/>
    <w:rsid w:val="00915B98"/>
    <w:rsid w:val="00916CC6"/>
    <w:rsid w:val="009240AD"/>
    <w:rsid w:val="00924C0B"/>
    <w:rsid w:val="00931827"/>
    <w:rsid w:val="009321F7"/>
    <w:rsid w:val="00937066"/>
    <w:rsid w:val="009376B5"/>
    <w:rsid w:val="00937CAD"/>
    <w:rsid w:val="0094016E"/>
    <w:rsid w:val="00942C84"/>
    <w:rsid w:val="009438F2"/>
    <w:rsid w:val="00950070"/>
    <w:rsid w:val="00954B3D"/>
    <w:rsid w:val="009566D9"/>
    <w:rsid w:val="009629D3"/>
    <w:rsid w:val="00965258"/>
    <w:rsid w:val="0096558F"/>
    <w:rsid w:val="0096622A"/>
    <w:rsid w:val="0096713D"/>
    <w:rsid w:val="009674A5"/>
    <w:rsid w:val="0097223C"/>
    <w:rsid w:val="00972FA8"/>
    <w:rsid w:val="0097329F"/>
    <w:rsid w:val="00973BD5"/>
    <w:rsid w:val="00975DAF"/>
    <w:rsid w:val="00977BCA"/>
    <w:rsid w:val="0099316E"/>
    <w:rsid w:val="009948EA"/>
    <w:rsid w:val="009949B9"/>
    <w:rsid w:val="00997675"/>
    <w:rsid w:val="00997DD0"/>
    <w:rsid w:val="009A245C"/>
    <w:rsid w:val="009A286B"/>
    <w:rsid w:val="009A34E3"/>
    <w:rsid w:val="009A5778"/>
    <w:rsid w:val="009A76F5"/>
    <w:rsid w:val="009B18BB"/>
    <w:rsid w:val="009B2681"/>
    <w:rsid w:val="009B47EC"/>
    <w:rsid w:val="009B55A3"/>
    <w:rsid w:val="009C0806"/>
    <w:rsid w:val="009C10C6"/>
    <w:rsid w:val="009C16A2"/>
    <w:rsid w:val="009C2E80"/>
    <w:rsid w:val="009C4E55"/>
    <w:rsid w:val="009C501E"/>
    <w:rsid w:val="009D10D8"/>
    <w:rsid w:val="009D128D"/>
    <w:rsid w:val="009D2DAF"/>
    <w:rsid w:val="009D47BD"/>
    <w:rsid w:val="009D4C92"/>
    <w:rsid w:val="009D5FD5"/>
    <w:rsid w:val="009E1C67"/>
    <w:rsid w:val="009E454F"/>
    <w:rsid w:val="009E4E9D"/>
    <w:rsid w:val="009E7E29"/>
    <w:rsid w:val="009F0F01"/>
    <w:rsid w:val="009F1B6B"/>
    <w:rsid w:val="009F5A33"/>
    <w:rsid w:val="00A034B1"/>
    <w:rsid w:val="00A0740E"/>
    <w:rsid w:val="00A11639"/>
    <w:rsid w:val="00A1257A"/>
    <w:rsid w:val="00A137C9"/>
    <w:rsid w:val="00A1524D"/>
    <w:rsid w:val="00A15A36"/>
    <w:rsid w:val="00A166DF"/>
    <w:rsid w:val="00A17C30"/>
    <w:rsid w:val="00A17DCB"/>
    <w:rsid w:val="00A267D1"/>
    <w:rsid w:val="00A3703E"/>
    <w:rsid w:val="00A37BCF"/>
    <w:rsid w:val="00A37E42"/>
    <w:rsid w:val="00A405FE"/>
    <w:rsid w:val="00A4712B"/>
    <w:rsid w:val="00A5111D"/>
    <w:rsid w:val="00A53809"/>
    <w:rsid w:val="00A6129B"/>
    <w:rsid w:val="00A614AE"/>
    <w:rsid w:val="00A63909"/>
    <w:rsid w:val="00A645D5"/>
    <w:rsid w:val="00A646C3"/>
    <w:rsid w:val="00A65F09"/>
    <w:rsid w:val="00A67BA8"/>
    <w:rsid w:val="00A70A71"/>
    <w:rsid w:val="00A71E9A"/>
    <w:rsid w:val="00A73870"/>
    <w:rsid w:val="00A7533F"/>
    <w:rsid w:val="00A7655E"/>
    <w:rsid w:val="00A76585"/>
    <w:rsid w:val="00A767A8"/>
    <w:rsid w:val="00A82415"/>
    <w:rsid w:val="00A851BE"/>
    <w:rsid w:val="00A85CAC"/>
    <w:rsid w:val="00A91485"/>
    <w:rsid w:val="00A92277"/>
    <w:rsid w:val="00A96AC6"/>
    <w:rsid w:val="00AA35EF"/>
    <w:rsid w:val="00AA3A69"/>
    <w:rsid w:val="00AA5E18"/>
    <w:rsid w:val="00AB5AB1"/>
    <w:rsid w:val="00AB6FD0"/>
    <w:rsid w:val="00AB75DC"/>
    <w:rsid w:val="00AC4619"/>
    <w:rsid w:val="00AC4D09"/>
    <w:rsid w:val="00AD4521"/>
    <w:rsid w:val="00AD5FBC"/>
    <w:rsid w:val="00AD72BC"/>
    <w:rsid w:val="00AD75F4"/>
    <w:rsid w:val="00AE2535"/>
    <w:rsid w:val="00AF13B9"/>
    <w:rsid w:val="00AF5906"/>
    <w:rsid w:val="00AF6ADB"/>
    <w:rsid w:val="00B012CD"/>
    <w:rsid w:val="00B016A5"/>
    <w:rsid w:val="00B032F7"/>
    <w:rsid w:val="00B033EF"/>
    <w:rsid w:val="00B0683C"/>
    <w:rsid w:val="00B25A52"/>
    <w:rsid w:val="00B265A6"/>
    <w:rsid w:val="00B277E9"/>
    <w:rsid w:val="00B27CE9"/>
    <w:rsid w:val="00B30D73"/>
    <w:rsid w:val="00B336DE"/>
    <w:rsid w:val="00B3441C"/>
    <w:rsid w:val="00B451EF"/>
    <w:rsid w:val="00B45A52"/>
    <w:rsid w:val="00B50141"/>
    <w:rsid w:val="00B50B6A"/>
    <w:rsid w:val="00B5177E"/>
    <w:rsid w:val="00B517F8"/>
    <w:rsid w:val="00B5701B"/>
    <w:rsid w:val="00B62C71"/>
    <w:rsid w:val="00B649C6"/>
    <w:rsid w:val="00B64A55"/>
    <w:rsid w:val="00B703F9"/>
    <w:rsid w:val="00B70AA1"/>
    <w:rsid w:val="00B7577B"/>
    <w:rsid w:val="00B836FA"/>
    <w:rsid w:val="00B8502A"/>
    <w:rsid w:val="00B863EC"/>
    <w:rsid w:val="00B916E1"/>
    <w:rsid w:val="00B93B1D"/>
    <w:rsid w:val="00B965F0"/>
    <w:rsid w:val="00B96C9A"/>
    <w:rsid w:val="00BA36B8"/>
    <w:rsid w:val="00BA7383"/>
    <w:rsid w:val="00BA7598"/>
    <w:rsid w:val="00BB050E"/>
    <w:rsid w:val="00BB059F"/>
    <w:rsid w:val="00BB0EE0"/>
    <w:rsid w:val="00BB16C8"/>
    <w:rsid w:val="00BB21F3"/>
    <w:rsid w:val="00BB3EA5"/>
    <w:rsid w:val="00BB428E"/>
    <w:rsid w:val="00BB5FED"/>
    <w:rsid w:val="00BB743F"/>
    <w:rsid w:val="00BC01B0"/>
    <w:rsid w:val="00BC03D2"/>
    <w:rsid w:val="00BC2F97"/>
    <w:rsid w:val="00BC6CC4"/>
    <w:rsid w:val="00BC7A80"/>
    <w:rsid w:val="00BC7AD1"/>
    <w:rsid w:val="00BD4936"/>
    <w:rsid w:val="00BE2829"/>
    <w:rsid w:val="00BF28BB"/>
    <w:rsid w:val="00BF2D7F"/>
    <w:rsid w:val="00BF3AE5"/>
    <w:rsid w:val="00C02339"/>
    <w:rsid w:val="00C02844"/>
    <w:rsid w:val="00C10999"/>
    <w:rsid w:val="00C15238"/>
    <w:rsid w:val="00C15B65"/>
    <w:rsid w:val="00C21F92"/>
    <w:rsid w:val="00C21FBD"/>
    <w:rsid w:val="00C224FC"/>
    <w:rsid w:val="00C231D0"/>
    <w:rsid w:val="00C27781"/>
    <w:rsid w:val="00C33313"/>
    <w:rsid w:val="00C344C8"/>
    <w:rsid w:val="00C34ADD"/>
    <w:rsid w:val="00C37E28"/>
    <w:rsid w:val="00C4327A"/>
    <w:rsid w:val="00C452B9"/>
    <w:rsid w:val="00C47ECB"/>
    <w:rsid w:val="00C50B69"/>
    <w:rsid w:val="00C537FC"/>
    <w:rsid w:val="00C60A49"/>
    <w:rsid w:val="00C6119A"/>
    <w:rsid w:val="00C61CFF"/>
    <w:rsid w:val="00C633B8"/>
    <w:rsid w:val="00C63D60"/>
    <w:rsid w:val="00C64213"/>
    <w:rsid w:val="00C6593F"/>
    <w:rsid w:val="00C74A67"/>
    <w:rsid w:val="00C7507F"/>
    <w:rsid w:val="00C83970"/>
    <w:rsid w:val="00C841E3"/>
    <w:rsid w:val="00C84EC8"/>
    <w:rsid w:val="00C85241"/>
    <w:rsid w:val="00C854B0"/>
    <w:rsid w:val="00C931B5"/>
    <w:rsid w:val="00C94E1B"/>
    <w:rsid w:val="00C95E25"/>
    <w:rsid w:val="00CA0BF8"/>
    <w:rsid w:val="00CA4788"/>
    <w:rsid w:val="00CB05B2"/>
    <w:rsid w:val="00CB07A3"/>
    <w:rsid w:val="00CB308C"/>
    <w:rsid w:val="00CB3EB0"/>
    <w:rsid w:val="00CC5572"/>
    <w:rsid w:val="00CC5ADB"/>
    <w:rsid w:val="00CC6E19"/>
    <w:rsid w:val="00CC76A1"/>
    <w:rsid w:val="00CD2B77"/>
    <w:rsid w:val="00CE04C9"/>
    <w:rsid w:val="00CE4314"/>
    <w:rsid w:val="00CE7405"/>
    <w:rsid w:val="00CF73F7"/>
    <w:rsid w:val="00D00E94"/>
    <w:rsid w:val="00D0492B"/>
    <w:rsid w:val="00D06706"/>
    <w:rsid w:val="00D113BC"/>
    <w:rsid w:val="00D1305E"/>
    <w:rsid w:val="00D154E1"/>
    <w:rsid w:val="00D17524"/>
    <w:rsid w:val="00D22305"/>
    <w:rsid w:val="00D24323"/>
    <w:rsid w:val="00D24A1D"/>
    <w:rsid w:val="00D26AC4"/>
    <w:rsid w:val="00D31C7A"/>
    <w:rsid w:val="00D3670F"/>
    <w:rsid w:val="00D413DC"/>
    <w:rsid w:val="00D470D4"/>
    <w:rsid w:val="00D472F4"/>
    <w:rsid w:val="00D51527"/>
    <w:rsid w:val="00D51BB6"/>
    <w:rsid w:val="00D520BE"/>
    <w:rsid w:val="00D52809"/>
    <w:rsid w:val="00D61E8E"/>
    <w:rsid w:val="00D66623"/>
    <w:rsid w:val="00D66A10"/>
    <w:rsid w:val="00D67C1F"/>
    <w:rsid w:val="00D704BD"/>
    <w:rsid w:val="00D72DED"/>
    <w:rsid w:val="00D7732A"/>
    <w:rsid w:val="00D77A39"/>
    <w:rsid w:val="00D80783"/>
    <w:rsid w:val="00D81033"/>
    <w:rsid w:val="00D844FA"/>
    <w:rsid w:val="00D87E1A"/>
    <w:rsid w:val="00D97562"/>
    <w:rsid w:val="00DA1EE1"/>
    <w:rsid w:val="00DA2AB8"/>
    <w:rsid w:val="00DA4FDA"/>
    <w:rsid w:val="00DA6B63"/>
    <w:rsid w:val="00DA73EC"/>
    <w:rsid w:val="00DB3561"/>
    <w:rsid w:val="00DB375A"/>
    <w:rsid w:val="00DB73CE"/>
    <w:rsid w:val="00DC1FD2"/>
    <w:rsid w:val="00DC5723"/>
    <w:rsid w:val="00DC602E"/>
    <w:rsid w:val="00DD011F"/>
    <w:rsid w:val="00DD3BEA"/>
    <w:rsid w:val="00DD6709"/>
    <w:rsid w:val="00DE0086"/>
    <w:rsid w:val="00DE0BEA"/>
    <w:rsid w:val="00DE0ED9"/>
    <w:rsid w:val="00DE1075"/>
    <w:rsid w:val="00DE1E1E"/>
    <w:rsid w:val="00DE4467"/>
    <w:rsid w:val="00DE79EA"/>
    <w:rsid w:val="00DF2CE6"/>
    <w:rsid w:val="00DF3249"/>
    <w:rsid w:val="00E018A6"/>
    <w:rsid w:val="00E01DC6"/>
    <w:rsid w:val="00E15AB0"/>
    <w:rsid w:val="00E16A87"/>
    <w:rsid w:val="00E170BE"/>
    <w:rsid w:val="00E17A35"/>
    <w:rsid w:val="00E203F1"/>
    <w:rsid w:val="00E276DA"/>
    <w:rsid w:val="00E32474"/>
    <w:rsid w:val="00E3300E"/>
    <w:rsid w:val="00E37E53"/>
    <w:rsid w:val="00E37E66"/>
    <w:rsid w:val="00E42F99"/>
    <w:rsid w:val="00E46949"/>
    <w:rsid w:val="00E47763"/>
    <w:rsid w:val="00E52F47"/>
    <w:rsid w:val="00E560B3"/>
    <w:rsid w:val="00E612A4"/>
    <w:rsid w:val="00E63CD0"/>
    <w:rsid w:val="00E64B5F"/>
    <w:rsid w:val="00E70997"/>
    <w:rsid w:val="00E74CC6"/>
    <w:rsid w:val="00E85325"/>
    <w:rsid w:val="00E8582E"/>
    <w:rsid w:val="00E93376"/>
    <w:rsid w:val="00E94801"/>
    <w:rsid w:val="00EA0A86"/>
    <w:rsid w:val="00EA1D72"/>
    <w:rsid w:val="00EB41D9"/>
    <w:rsid w:val="00EC174D"/>
    <w:rsid w:val="00EC4672"/>
    <w:rsid w:val="00EC65A8"/>
    <w:rsid w:val="00EC6F03"/>
    <w:rsid w:val="00ED061B"/>
    <w:rsid w:val="00EE0183"/>
    <w:rsid w:val="00EE08E5"/>
    <w:rsid w:val="00EE19BA"/>
    <w:rsid w:val="00EE1DE3"/>
    <w:rsid w:val="00EE2FF8"/>
    <w:rsid w:val="00EE4749"/>
    <w:rsid w:val="00EE4F08"/>
    <w:rsid w:val="00EE6F3F"/>
    <w:rsid w:val="00EF0BD4"/>
    <w:rsid w:val="00EF4629"/>
    <w:rsid w:val="00EF4E5F"/>
    <w:rsid w:val="00EF505E"/>
    <w:rsid w:val="00EF7806"/>
    <w:rsid w:val="00F027F4"/>
    <w:rsid w:val="00F10441"/>
    <w:rsid w:val="00F11D14"/>
    <w:rsid w:val="00F12919"/>
    <w:rsid w:val="00F1337D"/>
    <w:rsid w:val="00F142E3"/>
    <w:rsid w:val="00F15892"/>
    <w:rsid w:val="00F164DA"/>
    <w:rsid w:val="00F173EC"/>
    <w:rsid w:val="00F21FCD"/>
    <w:rsid w:val="00F24C1E"/>
    <w:rsid w:val="00F279E0"/>
    <w:rsid w:val="00F314C8"/>
    <w:rsid w:val="00F36D8F"/>
    <w:rsid w:val="00F42736"/>
    <w:rsid w:val="00F4343E"/>
    <w:rsid w:val="00F43F0F"/>
    <w:rsid w:val="00F46549"/>
    <w:rsid w:val="00F47F6F"/>
    <w:rsid w:val="00F50472"/>
    <w:rsid w:val="00F51AD9"/>
    <w:rsid w:val="00F556E6"/>
    <w:rsid w:val="00F56B05"/>
    <w:rsid w:val="00F56BE9"/>
    <w:rsid w:val="00F57147"/>
    <w:rsid w:val="00F652AF"/>
    <w:rsid w:val="00F65319"/>
    <w:rsid w:val="00F6574F"/>
    <w:rsid w:val="00F65B46"/>
    <w:rsid w:val="00F7146A"/>
    <w:rsid w:val="00F749F4"/>
    <w:rsid w:val="00F766E1"/>
    <w:rsid w:val="00F82B3E"/>
    <w:rsid w:val="00F83C1E"/>
    <w:rsid w:val="00F86394"/>
    <w:rsid w:val="00F865D3"/>
    <w:rsid w:val="00F965D2"/>
    <w:rsid w:val="00F979E4"/>
    <w:rsid w:val="00FA1375"/>
    <w:rsid w:val="00FA3527"/>
    <w:rsid w:val="00FA5D80"/>
    <w:rsid w:val="00FB0909"/>
    <w:rsid w:val="00FB0B4B"/>
    <w:rsid w:val="00FB3C70"/>
    <w:rsid w:val="00FB4561"/>
    <w:rsid w:val="00FC0B67"/>
    <w:rsid w:val="00FC21D8"/>
    <w:rsid w:val="00FC2E71"/>
    <w:rsid w:val="00FC417C"/>
    <w:rsid w:val="00FC589D"/>
    <w:rsid w:val="00FC6D05"/>
    <w:rsid w:val="00FD065C"/>
    <w:rsid w:val="00FD1158"/>
    <w:rsid w:val="00FD1F70"/>
    <w:rsid w:val="00FD7DAE"/>
    <w:rsid w:val="00FD7E53"/>
    <w:rsid w:val="00FE0D1A"/>
    <w:rsid w:val="00FE1A65"/>
    <w:rsid w:val="00FE3241"/>
    <w:rsid w:val="00FE399C"/>
    <w:rsid w:val="00FE6A52"/>
    <w:rsid w:val="00FF0CFF"/>
    <w:rsid w:val="00FF0D7A"/>
    <w:rsid w:val="00FF39BF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7F2EDD"/>
  <w15:docId w15:val="{11926C40-2D42-42CB-A6F5-E0E9C125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5ED0"/>
    <w:pPr>
      <w:widowControl w:val="0"/>
      <w:suppressAutoHyphens/>
      <w:jc w:val="left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5ED0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0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00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85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85E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F1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ED0"/>
    <w:rPr>
      <w:rFonts w:ascii="Arial" w:eastAsia="Lucida Sans Unicode" w:hAnsi="Arial" w:cs="Arial"/>
      <w:b/>
      <w:bCs/>
      <w:lang w:eastAsia="ar-SA"/>
    </w:rPr>
  </w:style>
  <w:style w:type="character" w:customStyle="1" w:styleId="Nagwek4Znak">
    <w:name w:val="Nagłówek 4 Znak"/>
    <w:basedOn w:val="Domylnaczcionkaakapitu"/>
    <w:link w:val="Nagwek4"/>
    <w:rsid w:val="00885ED0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885ED0"/>
    <w:rPr>
      <w:rFonts w:ascii="Times New Roman" w:eastAsia="Lucida Sans Unicode" w:hAnsi="Times New Roman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uiPriority w:val="99"/>
    <w:rsid w:val="00885ED0"/>
    <w:rPr>
      <w:color w:val="00008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5ED0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A35EF"/>
    <w:pPr>
      <w:tabs>
        <w:tab w:val="left" w:pos="567"/>
        <w:tab w:val="right" w:leader="dot" w:pos="9628"/>
      </w:tabs>
      <w:spacing w:before="360" w:line="360" w:lineRule="auto"/>
      <w:ind w:left="426" w:hanging="360"/>
      <w:jc w:val="both"/>
    </w:pPr>
    <w:rPr>
      <w:rFonts w:ascii="DIN Next LT Pro" w:hAnsi="DIN Next LT Pro"/>
      <w:b/>
      <w:bCs/>
      <w:cap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04C9"/>
    <w:pPr>
      <w:tabs>
        <w:tab w:val="left" w:pos="993"/>
        <w:tab w:val="right" w:leader="dot" w:pos="9628"/>
      </w:tabs>
      <w:spacing w:before="240" w:line="360" w:lineRule="auto"/>
      <w:ind w:left="567"/>
      <w:jc w:val="both"/>
    </w:pPr>
    <w:rPr>
      <w:rFonts w:ascii="DIN Next LT Pro" w:hAnsi="DIN Next LT Pro"/>
      <w:bCs/>
      <w:noProof/>
      <w:sz w:val="20"/>
    </w:rPr>
  </w:style>
  <w:style w:type="paragraph" w:styleId="Akapitzlist">
    <w:name w:val="List Paragraph"/>
    <w:basedOn w:val="Normalny"/>
    <w:uiPriority w:val="34"/>
    <w:qFormat/>
    <w:rsid w:val="007613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1A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7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E1A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A35EF"/>
    <w:pPr>
      <w:tabs>
        <w:tab w:val="left" w:pos="1843"/>
        <w:tab w:val="right" w:leader="dot" w:pos="9628"/>
      </w:tabs>
      <w:spacing w:line="360" w:lineRule="auto"/>
      <w:ind w:left="993"/>
      <w:jc w:val="both"/>
    </w:pPr>
    <w:rPr>
      <w:rFonts w:ascii="DIN Next LT Pro Light" w:hAnsi="DIN Next LT Pro Light"/>
      <w:noProof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159B0"/>
    <w:pPr>
      <w:ind w:left="48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159B0"/>
    <w:pPr>
      <w:ind w:left="72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3159B0"/>
    <w:pPr>
      <w:ind w:left="96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3159B0"/>
    <w:pPr>
      <w:ind w:left="120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3159B0"/>
    <w:pPr>
      <w:ind w:left="144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3159B0"/>
    <w:pPr>
      <w:ind w:left="1680"/>
    </w:pPr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944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5007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50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link w:val="BezodstpwZnak"/>
    <w:uiPriority w:val="1"/>
    <w:qFormat/>
    <w:rsid w:val="005231E8"/>
    <w:pPr>
      <w:jc w:val="left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31E8"/>
    <w:rPr>
      <w:rFonts w:eastAsiaTheme="minorEastAsia"/>
    </w:rPr>
  </w:style>
  <w:style w:type="character" w:customStyle="1" w:styleId="Nagwek6Znak">
    <w:name w:val="Nagłówek 6 Znak"/>
    <w:basedOn w:val="Domylnaczcionkaakapitu"/>
    <w:link w:val="Nagwek6"/>
    <w:uiPriority w:val="9"/>
    <w:rsid w:val="00AF1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ar-SA"/>
    </w:rPr>
  </w:style>
  <w:style w:type="character" w:customStyle="1" w:styleId="FontStyle169">
    <w:name w:val="Font Style169"/>
    <w:basedOn w:val="Domylnaczcionkaakapitu"/>
    <w:uiPriority w:val="99"/>
    <w:rsid w:val="00FD7E53"/>
    <w:rPr>
      <w:rFonts w:ascii="Arial" w:hAnsi="Arial" w:cs="Arial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075097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pl-PL"/>
    </w:rPr>
  </w:style>
  <w:style w:type="paragraph" w:customStyle="1" w:styleId="Style45">
    <w:name w:val="Style45"/>
    <w:basedOn w:val="Normalny"/>
    <w:uiPriority w:val="99"/>
    <w:rsid w:val="00075097"/>
    <w:pPr>
      <w:suppressAutoHyphens w:val="0"/>
      <w:autoSpaceDE w:val="0"/>
      <w:autoSpaceDN w:val="0"/>
      <w:adjustRightInd w:val="0"/>
      <w:spacing w:line="345" w:lineRule="exact"/>
      <w:ind w:hanging="360"/>
      <w:jc w:val="both"/>
    </w:pPr>
    <w:rPr>
      <w:rFonts w:ascii="Arial" w:eastAsiaTheme="minorEastAsia" w:hAnsi="Arial" w:cs="Arial"/>
      <w:szCs w:val="24"/>
      <w:lang w:eastAsia="pl-PL"/>
    </w:rPr>
  </w:style>
  <w:style w:type="paragraph" w:customStyle="1" w:styleId="Style55">
    <w:name w:val="Style55"/>
    <w:basedOn w:val="Normalny"/>
    <w:uiPriority w:val="99"/>
    <w:rsid w:val="00075097"/>
    <w:pPr>
      <w:suppressAutoHyphens w:val="0"/>
      <w:autoSpaceDE w:val="0"/>
      <w:autoSpaceDN w:val="0"/>
      <w:adjustRightInd w:val="0"/>
      <w:spacing w:line="346" w:lineRule="exact"/>
      <w:jc w:val="both"/>
    </w:pPr>
    <w:rPr>
      <w:rFonts w:ascii="Arial" w:eastAsiaTheme="minorEastAsia" w:hAnsi="Arial" w:cs="Arial"/>
      <w:szCs w:val="24"/>
      <w:lang w:eastAsia="pl-PL"/>
    </w:rPr>
  </w:style>
  <w:style w:type="paragraph" w:customStyle="1" w:styleId="Style85">
    <w:name w:val="Style85"/>
    <w:basedOn w:val="Normalny"/>
    <w:uiPriority w:val="99"/>
    <w:rsid w:val="006C6031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pl-PL"/>
    </w:rPr>
  </w:style>
  <w:style w:type="paragraph" w:customStyle="1" w:styleId="Style87">
    <w:name w:val="Style87"/>
    <w:basedOn w:val="Normalny"/>
    <w:uiPriority w:val="99"/>
    <w:rsid w:val="006C6031"/>
    <w:pPr>
      <w:suppressAutoHyphens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  <w:lang w:eastAsia="pl-PL"/>
    </w:rPr>
  </w:style>
  <w:style w:type="paragraph" w:customStyle="1" w:styleId="Style141">
    <w:name w:val="Style141"/>
    <w:basedOn w:val="Normalny"/>
    <w:uiPriority w:val="99"/>
    <w:rsid w:val="006C6031"/>
    <w:pPr>
      <w:suppressAutoHyphens w:val="0"/>
      <w:autoSpaceDE w:val="0"/>
      <w:autoSpaceDN w:val="0"/>
      <w:adjustRightInd w:val="0"/>
      <w:spacing w:line="205" w:lineRule="exact"/>
      <w:ind w:firstLine="79"/>
    </w:pPr>
    <w:rPr>
      <w:rFonts w:ascii="Arial" w:eastAsiaTheme="minorEastAsia" w:hAnsi="Arial" w:cs="Arial"/>
      <w:szCs w:val="24"/>
      <w:lang w:eastAsia="pl-PL"/>
    </w:rPr>
  </w:style>
  <w:style w:type="character" w:customStyle="1" w:styleId="FontStyle181">
    <w:name w:val="Font Style181"/>
    <w:basedOn w:val="Domylnaczcionkaakapitu"/>
    <w:uiPriority w:val="99"/>
    <w:rsid w:val="006C6031"/>
    <w:rPr>
      <w:rFonts w:ascii="Arial" w:hAnsi="Arial" w:cs="Arial"/>
      <w:b/>
      <w:bCs/>
      <w:color w:val="000000"/>
      <w:sz w:val="14"/>
      <w:szCs w:val="14"/>
    </w:rPr>
  </w:style>
  <w:style w:type="paragraph" w:styleId="NormalnyWeb">
    <w:name w:val="Normal (Web)"/>
    <w:basedOn w:val="Normalny"/>
    <w:uiPriority w:val="99"/>
    <w:semiHidden/>
    <w:unhideWhenUsed/>
    <w:rsid w:val="00496282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96282"/>
  </w:style>
  <w:style w:type="character" w:styleId="Pogrubienie">
    <w:name w:val="Strong"/>
    <w:basedOn w:val="Domylnaczcionkaakapitu"/>
    <w:uiPriority w:val="22"/>
    <w:qFormat/>
    <w:rsid w:val="00496282"/>
    <w:rPr>
      <w:b/>
      <w:bCs/>
    </w:rPr>
  </w:style>
  <w:style w:type="paragraph" w:customStyle="1" w:styleId="Normalny1">
    <w:name w:val="Normalny1"/>
    <w:rsid w:val="00B5701B"/>
    <w:pP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63D6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63D60"/>
    <w:rPr>
      <w:rFonts w:ascii="Tahoma" w:eastAsia="Lucida Sans Unicode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10"/>
    <w:qFormat/>
    <w:rsid w:val="0097223C"/>
    <w:pPr>
      <w:widowControl/>
      <w:suppressAutoHyphens w:val="0"/>
      <w:jc w:val="center"/>
    </w:pPr>
    <w:rPr>
      <w:rFonts w:ascii="Tahoma" w:eastAsia="Times New Roman" w:hAnsi="Tahoma" w:cs="Tahoma"/>
      <w:sz w:val="64"/>
      <w:szCs w:val="6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7223C"/>
    <w:rPr>
      <w:rFonts w:ascii="Tahoma" w:eastAsia="Times New Roman" w:hAnsi="Tahoma" w:cs="Tahoma"/>
      <w:sz w:val="64"/>
      <w:szCs w:val="6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7223C"/>
    <w:pPr>
      <w:widowControl/>
      <w:suppressAutoHyphens w:val="0"/>
      <w:jc w:val="center"/>
    </w:pPr>
    <w:rPr>
      <w:rFonts w:ascii="Tahoma" w:eastAsia="Times New Roman" w:hAnsi="Tahoma" w:cs="Tahoma"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7223C"/>
    <w:rPr>
      <w:rFonts w:ascii="Tahoma" w:eastAsia="Times New Roman" w:hAnsi="Tahoma" w:cs="Tahoma"/>
      <w:sz w:val="40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9C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9CB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9CB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5F2303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6AA1-BFDF-4B42-82C2-65A1C54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6655</Words>
  <Characters>38200</Characters>
  <Application>Microsoft Office Word</Application>
  <DocSecurity>0</DocSecurity>
  <Lines>2122</Lines>
  <Paragraphs>1043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Cntrum Leczenia Oparzeń im. dr. Stanisława Sakiela w Siemianowicach Śląskich</vt:lpstr>
    </vt:vector>
  </TitlesOfParts>
  <Company>Microsoft</Company>
  <LinksUpToDate>false</LinksUpToDate>
  <CharactersWithSpaces>43812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Cntrum Leczenia Oparzeń im. dr. Stanisława Sakiela w Siemianowicach Śląskich</dc:title>
  <dc:creator>maliki</dc:creator>
  <cp:lastModifiedBy>Joanna Przewoźniak</cp:lastModifiedBy>
  <cp:revision>5</cp:revision>
  <cp:lastPrinted>2025-04-10T10:37:00Z</cp:lastPrinted>
  <dcterms:created xsi:type="dcterms:W3CDTF">2025-04-23T11:36:00Z</dcterms:created>
  <dcterms:modified xsi:type="dcterms:W3CDTF">2025-04-24T11:57:00Z</dcterms:modified>
</cp:coreProperties>
</file>